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2EB497">
      <w:pPr>
        <w:rPr>
          <w:rFonts w:hint="eastAsia" w:ascii="黑体" w:hAnsi="黑体" w:eastAsia="黑体"/>
          <w:sz w:val="32"/>
          <w:szCs w:val="32"/>
        </w:rPr>
      </w:pPr>
    </w:p>
    <w:p w14:paraId="26D2F8D9">
      <w:pPr>
        <w:jc w:val="center"/>
        <w:rPr>
          <w:rFonts w:hint="eastAsia" w:ascii="方正小标宋_GBK" w:hAnsi="宋体" w:eastAsia="方正小标宋_GBK"/>
          <w:sz w:val="44"/>
          <w:szCs w:val="44"/>
        </w:rPr>
      </w:pPr>
    </w:p>
    <w:p w14:paraId="06A15734">
      <w:pPr>
        <w:jc w:val="center"/>
        <w:rPr>
          <w:rFonts w:hint="eastAsia" w:ascii="方正小标宋_GBK" w:hAnsi="宋体" w:eastAsia="方正小标宋_GBK"/>
          <w:sz w:val="44"/>
          <w:szCs w:val="44"/>
        </w:rPr>
      </w:pPr>
      <w:r>
        <w:rPr>
          <w:rFonts w:hint="eastAsia" w:ascii="方正小标宋_GBK" w:hAnsi="宋体" w:eastAsia="方正小标宋_GBK"/>
          <w:sz w:val="44"/>
          <w:szCs w:val="44"/>
        </w:rPr>
        <w:t>木垒哈萨克自治县退役军人事务局</w:t>
      </w:r>
    </w:p>
    <w:p w14:paraId="769B2C78">
      <w:pPr>
        <w:jc w:val="center"/>
        <w:rPr>
          <w:rFonts w:hint="eastAsia" w:ascii="方正小标宋_GBK" w:hAnsi="宋体" w:eastAsia="方正小标宋_GBK"/>
          <w:sz w:val="44"/>
          <w:szCs w:val="44"/>
        </w:rPr>
      </w:pPr>
      <w:r>
        <w:rPr>
          <w:rFonts w:hint="eastAsia" w:ascii="方正小标宋_GBK" w:hAnsi="宋体" w:eastAsia="方正小标宋_GBK"/>
          <w:sz w:val="44"/>
          <w:szCs w:val="44"/>
        </w:rPr>
        <w:t>2023年度部门决算</w:t>
      </w:r>
    </w:p>
    <w:p w14:paraId="3A05FBD8">
      <w:pPr>
        <w:jc w:val="center"/>
        <w:rPr>
          <w:rFonts w:hint="eastAsia" w:ascii="方正小标宋_GBK" w:hAnsi="宋体" w:eastAsia="方正小标宋_GBK"/>
          <w:sz w:val="44"/>
          <w:szCs w:val="44"/>
        </w:rPr>
      </w:pPr>
      <w:r>
        <w:rPr>
          <w:rFonts w:hint="eastAsia" w:ascii="方正小标宋_GBK" w:hAnsi="宋体" w:eastAsia="方正小标宋_GBK"/>
          <w:sz w:val="44"/>
          <w:szCs w:val="44"/>
        </w:rPr>
        <w:t>公开说明</w:t>
      </w:r>
    </w:p>
    <w:p w14:paraId="129B57E0">
      <w:pPr>
        <w:rPr>
          <w:rFonts w:hint="eastAsia" w:ascii="方正小标宋_GBK" w:hAnsi="宋体" w:eastAsia="方正小标宋_GBK"/>
          <w:sz w:val="44"/>
          <w:szCs w:val="44"/>
        </w:rPr>
      </w:pPr>
      <w:r>
        <w:rPr>
          <w:rFonts w:hint="eastAsia" w:ascii="方正小标宋_GBK" w:hAnsi="宋体" w:eastAsia="方正小标宋_GBK"/>
          <w:sz w:val="44"/>
          <w:szCs w:val="44"/>
        </w:rPr>
        <w:br w:type="page"/>
      </w:r>
    </w:p>
    <w:p w14:paraId="6C86EE03">
      <w:pPr>
        <w:jc w:val="center"/>
        <w:rPr>
          <w:rFonts w:hint="eastAsia" w:ascii="仿宋_GB2312" w:hAnsi="仿宋_GB2312" w:eastAsia="仿宋_GB2312" w:cs="仿宋_GB2312"/>
          <w:bCs/>
          <w:kern w:val="0"/>
          <w:sz w:val="32"/>
          <w:szCs w:val="32"/>
        </w:rPr>
      </w:pPr>
      <w:r>
        <w:rPr>
          <w:rFonts w:hint="eastAsia" w:ascii="仿宋_GB2312" w:hAnsi="仿宋_GB2312" w:eastAsia="仿宋_GB2312" w:cs="仿宋_GB2312"/>
          <w:b/>
          <w:kern w:val="0"/>
          <w:sz w:val="36"/>
          <w:szCs w:val="36"/>
        </w:rPr>
        <w:t>目  录</w:t>
      </w:r>
    </w:p>
    <w:p w14:paraId="0F65C76E">
      <w:pPr>
        <w:pStyle w:val="6"/>
        <w:tabs>
          <w:tab w:val="right" w:pos="8306"/>
        </w:tabs>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4EA06E73">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7BBA010C">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14:paraId="29C7304F">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5994FF6B">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441798F7">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5854278D">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2F7E34AD">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17B78C45">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778CE81D">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73B19173">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七、财政拨款“三公”经费支出决算情况说明</w:t>
      </w:r>
      <w:r>
        <w:rPr>
          <w:rFonts w:hint="eastAsia" w:ascii="仿宋_GB2312" w:hAnsi="仿宋_GB2312" w:eastAsia="仿宋_GB2312" w:cs="仿宋_GB2312"/>
          <w:bCs/>
          <w:kern w:val="0"/>
          <w:sz w:val="32"/>
          <w:szCs w:val="32"/>
        </w:rPr>
        <w:fldChar w:fldCharType="end"/>
      </w:r>
    </w:p>
    <w:p w14:paraId="7E25DEC9">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八、政府性基金预算财政拨款收入支出决算情况说明</w:t>
      </w:r>
      <w:r>
        <w:rPr>
          <w:rFonts w:hint="eastAsia" w:ascii="仿宋_GB2312" w:hAnsi="仿宋_GB2312" w:eastAsia="仿宋_GB2312" w:cs="仿宋_GB2312"/>
          <w:bCs/>
          <w:kern w:val="0"/>
          <w:sz w:val="32"/>
          <w:szCs w:val="32"/>
        </w:rPr>
        <w:fldChar w:fldCharType="end"/>
      </w:r>
    </w:p>
    <w:p w14:paraId="0DE0C886">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九、国有资本经营预算财政拨款收入支出决算情况说明</w:t>
      </w:r>
      <w:r>
        <w:rPr>
          <w:rFonts w:hint="eastAsia" w:ascii="仿宋_GB2312" w:hAnsi="仿宋_GB2312" w:eastAsia="仿宋_GB2312" w:cs="仿宋_GB2312"/>
          <w:bCs/>
          <w:kern w:val="0"/>
          <w:sz w:val="32"/>
          <w:szCs w:val="32"/>
        </w:rPr>
        <w:fldChar w:fldCharType="end"/>
      </w:r>
    </w:p>
    <w:p w14:paraId="037967C4">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sz w:val="32"/>
          <w:szCs w:val="32"/>
        </w:rPr>
        <w:t>十</w:t>
      </w:r>
      <w:r>
        <w:rPr>
          <w:rFonts w:hint="eastAsia" w:ascii="仿宋_GB2312" w:hAnsi="仿宋_GB2312" w:eastAsia="仿宋_GB2312" w:cs="仿宋_GB2312"/>
          <w:bCs/>
          <w:kern w:val="0"/>
          <w:sz w:val="32"/>
          <w:szCs w:val="32"/>
        </w:rPr>
        <w:t>、其他重要事项的情况说明</w:t>
      </w:r>
      <w:r>
        <w:rPr>
          <w:rFonts w:hint="eastAsia" w:ascii="仿宋_GB2312" w:hAnsi="仿宋_GB2312" w:eastAsia="仿宋_GB2312" w:cs="仿宋_GB2312"/>
          <w:bCs/>
          <w:kern w:val="0"/>
          <w:sz w:val="32"/>
          <w:szCs w:val="32"/>
        </w:rPr>
        <w:fldChar w:fldCharType="end"/>
      </w:r>
    </w:p>
    <w:p w14:paraId="638E8EB0">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14:paraId="6F04D086">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26C095AC">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453ABE07">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7998E483">
      <w:pPr>
        <w:pStyle w:val="7"/>
        <w:tabs>
          <w:tab w:val="right" w:pos="8306"/>
        </w:tabs>
        <w:ind w:left="0" w:left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十二、其他需说明的事项</w:t>
      </w:r>
    </w:p>
    <w:p w14:paraId="79836AD9">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41A71160">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4152642B">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10D9ACBA">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09C40CA7">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4126152B">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6D06FCCB">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401CE059">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2ED77FB0">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七、《财政拨款“三公”经费支出决算表》</w:t>
      </w:r>
      <w:r>
        <w:rPr>
          <w:rFonts w:hint="eastAsia" w:ascii="仿宋_GB2312" w:hAnsi="仿宋_GB2312" w:eastAsia="仿宋_GB2312" w:cs="仿宋_GB2312"/>
          <w:bCs/>
          <w:kern w:val="0"/>
          <w:sz w:val="32"/>
          <w:szCs w:val="32"/>
        </w:rPr>
        <w:fldChar w:fldCharType="end"/>
      </w:r>
    </w:p>
    <w:p w14:paraId="1C4A561C">
      <w:pPr>
        <w:pStyle w:val="7"/>
        <w:tabs>
          <w:tab w:val="right" w:pos="8306"/>
        </w:tabs>
        <w:ind w:left="0" w:leftChars="0"/>
        <w:rPr>
          <w:rFonts w:hint="eastAsia" w:ascii="仿宋_GB2312" w:hAnsi="仿宋_GB2312" w:eastAsia="仿宋_GB2312" w:cs="仿宋_GB2312"/>
          <w:bCs/>
          <w:kern w:val="0"/>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14:paraId="6AD63B79">
      <w:pPr>
        <w:pStyle w:val="7"/>
        <w:tabs>
          <w:tab w:val="right" w:pos="8306"/>
        </w:tabs>
        <w:ind w:left="0" w:leftChars="0"/>
        <w:rPr>
          <w:rFonts w:hint="eastAsia"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14:paraId="37B47FDA">
      <w:r>
        <w:rPr>
          <w:rFonts w:hint="eastAsia" w:ascii="仿宋_GB2312" w:hAnsi="仿宋_GB2312" w:eastAsia="仿宋_GB2312" w:cs="仿宋_GB2312"/>
          <w:sz w:val="32"/>
          <w:szCs w:val="32"/>
        </w:rPr>
        <w:fldChar w:fldCharType="end"/>
      </w:r>
    </w:p>
    <w:p w14:paraId="2299A171">
      <w:pPr>
        <w:rPr>
          <w:rFonts w:ascii="仿宋_GB2312" w:eastAsia="仿宋_GB2312"/>
          <w:sz w:val="32"/>
          <w:szCs w:val="32"/>
        </w:rPr>
      </w:pPr>
      <w:r>
        <w:rPr>
          <w:rFonts w:hint="eastAsia" w:ascii="仿宋_GB2312" w:eastAsia="仿宋_GB2312"/>
          <w:sz w:val="32"/>
          <w:szCs w:val="32"/>
        </w:rPr>
        <w:br w:type="page"/>
      </w:r>
    </w:p>
    <w:p w14:paraId="7AD33E52">
      <w:pPr>
        <w:jc w:val="center"/>
        <w:outlineLvl w:val="0"/>
        <w:rPr>
          <w:rFonts w:hint="eastAsia" w:ascii="黑体" w:hAnsi="黑体" w:eastAsia="黑体"/>
          <w:sz w:val="32"/>
          <w:szCs w:val="32"/>
        </w:rPr>
      </w:pPr>
      <w:bookmarkStart w:id="0" w:name="_Toc32314"/>
      <w:bookmarkStart w:id="1" w:name="_Toc24028"/>
      <w:r>
        <w:rPr>
          <w:rFonts w:hint="eastAsia" w:ascii="黑体" w:hAnsi="黑体" w:eastAsia="黑体"/>
          <w:sz w:val="32"/>
          <w:szCs w:val="32"/>
        </w:rPr>
        <w:t>第一部分 单位概况</w:t>
      </w:r>
      <w:bookmarkEnd w:id="0"/>
      <w:bookmarkEnd w:id="1"/>
    </w:p>
    <w:p w14:paraId="150ABA91">
      <w:pPr>
        <w:ind w:firstLine="640" w:firstLineChars="200"/>
        <w:outlineLvl w:val="1"/>
        <w:rPr>
          <w:rFonts w:hint="eastAsia" w:ascii="黑体" w:hAnsi="黑体" w:eastAsia="黑体" w:cs="宋体"/>
          <w:bCs/>
          <w:kern w:val="0"/>
          <w:sz w:val="32"/>
          <w:szCs w:val="32"/>
        </w:rPr>
      </w:pPr>
      <w:bookmarkStart w:id="2" w:name="_Toc30738"/>
      <w:bookmarkStart w:id="3" w:name="_Toc30567"/>
      <w:r>
        <w:rPr>
          <w:rFonts w:hint="eastAsia" w:ascii="黑体" w:hAnsi="黑体" w:eastAsia="黑体" w:cs="宋体"/>
          <w:bCs/>
          <w:kern w:val="0"/>
          <w:sz w:val="32"/>
          <w:szCs w:val="32"/>
        </w:rPr>
        <w:t>一、主要职能</w:t>
      </w:r>
      <w:bookmarkEnd w:id="2"/>
      <w:bookmarkEnd w:id="3"/>
    </w:p>
    <w:p w14:paraId="57A3FA02">
      <w:pPr>
        <w:ind w:firstLine="640" w:firstLineChars="200"/>
        <w:jc w:val="left"/>
        <w:rPr>
          <w:rFonts w:ascii="仿宋_GB2312" w:eastAsia="仿宋_GB2312"/>
          <w:sz w:val="32"/>
          <w:szCs w:val="32"/>
        </w:rPr>
      </w:pPr>
      <w:r>
        <w:rPr>
          <w:rFonts w:hint="eastAsia" w:ascii="仿宋_GB2312" w:hAnsi="黑体" w:eastAsia="仿宋_GB2312" w:cs="宋体"/>
          <w:bCs/>
          <w:kern w:val="0"/>
          <w:sz w:val="32"/>
          <w:szCs w:val="32"/>
        </w:rPr>
        <w:t>负责退役军人思想政治、管理保障和安置优抚等工作；负责军队军转干部、复员干部、离休退休干部、退役士兵和无军籍退休退职职工的移交安置工作和自主择业、就业退役军人服务管理工作；组织实施退役军人教育培训工作，协调扶持退役军人和随军随调家属就业创业；负责伤病残退役军人服务管理和抚恤工作；负责拥军优属等工作</w:t>
      </w:r>
      <w:r>
        <w:rPr>
          <w:rFonts w:hint="eastAsia" w:ascii="仿宋_GB2312" w:eastAsia="仿宋_GB2312"/>
          <w:sz w:val="32"/>
          <w:szCs w:val="32"/>
        </w:rPr>
        <w:t>。</w:t>
      </w:r>
    </w:p>
    <w:p w14:paraId="48BAF472">
      <w:pPr>
        <w:ind w:firstLine="640" w:firstLineChars="200"/>
        <w:outlineLvl w:val="1"/>
        <w:rPr>
          <w:rFonts w:hint="eastAsia" w:ascii="黑体" w:hAnsi="黑体" w:eastAsia="黑体" w:cs="宋体"/>
          <w:bCs/>
          <w:kern w:val="0"/>
          <w:sz w:val="32"/>
          <w:szCs w:val="32"/>
        </w:rPr>
      </w:pPr>
      <w:bookmarkStart w:id="4" w:name="_Toc31238"/>
      <w:bookmarkStart w:id="5" w:name="_Toc2151"/>
      <w:r>
        <w:rPr>
          <w:rFonts w:hint="eastAsia" w:ascii="黑体" w:hAnsi="黑体" w:eastAsia="黑体" w:cs="宋体"/>
          <w:bCs/>
          <w:kern w:val="0"/>
          <w:sz w:val="32"/>
          <w:szCs w:val="32"/>
        </w:rPr>
        <w:t>二、机构设置及</w:t>
      </w:r>
      <w:bookmarkEnd w:id="4"/>
      <w:r>
        <w:rPr>
          <w:rFonts w:hint="eastAsia" w:ascii="黑体" w:hAnsi="黑体" w:eastAsia="黑体" w:cs="宋体"/>
          <w:bCs/>
          <w:kern w:val="0"/>
          <w:sz w:val="32"/>
          <w:szCs w:val="32"/>
        </w:rPr>
        <w:t>人员情况</w:t>
      </w:r>
      <w:bookmarkEnd w:id="5"/>
    </w:p>
    <w:p w14:paraId="47408B76">
      <w:pPr>
        <w:ind w:firstLine="640" w:firstLineChars="200"/>
        <w:jc w:val="left"/>
        <w:rPr>
          <w:rFonts w:hint="eastAsia" w:ascii="仿宋_GB2312" w:hAnsi="仿宋_GB2312" w:eastAsia="仿宋_GB2312" w:cs="仿宋_GB2312"/>
          <w:b/>
          <w:sz w:val="32"/>
          <w:szCs w:val="32"/>
        </w:rPr>
      </w:pPr>
      <w:r>
        <w:rPr>
          <w:rFonts w:hint="eastAsia" w:ascii="仿宋_GB2312" w:eastAsia="仿宋_GB2312"/>
          <w:sz w:val="32"/>
          <w:szCs w:val="32"/>
        </w:rPr>
        <w:t>木垒哈萨克自治县退役军人事务局2023年度，实有人数</w:t>
      </w:r>
      <w:r>
        <w:rPr>
          <w:rFonts w:hint="eastAsia" w:ascii="仿宋_GB2312" w:eastAsia="仿宋_GB2312"/>
          <w:sz w:val="32"/>
          <w:szCs w:val="32"/>
          <w:lang w:val="zh-CN"/>
        </w:rPr>
        <w:t>8</w:t>
      </w:r>
      <w:r>
        <w:rPr>
          <w:rFonts w:hint="eastAsia" w:ascii="仿宋_GB2312" w:eastAsia="仿宋_GB2312"/>
          <w:sz w:val="32"/>
          <w:szCs w:val="32"/>
        </w:rPr>
        <w:t>人，其中：在职人员</w:t>
      </w:r>
      <w:r>
        <w:rPr>
          <w:rFonts w:hint="eastAsia" w:ascii="仿宋_GB2312" w:eastAsia="仿宋_GB2312"/>
          <w:sz w:val="32"/>
          <w:szCs w:val="32"/>
          <w:lang w:val="zh-CN"/>
        </w:rPr>
        <w:t>8</w:t>
      </w:r>
      <w:r>
        <w:rPr>
          <w:rFonts w:hint="eastAsia" w:ascii="仿宋_GB2312" w:eastAsia="仿宋_GB2312"/>
          <w:sz w:val="32"/>
          <w:szCs w:val="32"/>
        </w:rPr>
        <w:t>人，离休人员</w:t>
      </w:r>
      <w:r>
        <w:rPr>
          <w:rFonts w:hint="eastAsia" w:ascii="仿宋_GB2312" w:eastAsia="仿宋_GB2312"/>
          <w:sz w:val="32"/>
          <w:szCs w:val="32"/>
          <w:lang w:val="zh-CN"/>
        </w:rPr>
        <w:t>0</w:t>
      </w:r>
      <w:r>
        <w:rPr>
          <w:rFonts w:hint="eastAsia" w:ascii="仿宋_GB2312" w:eastAsia="仿宋_GB2312"/>
          <w:sz w:val="32"/>
          <w:szCs w:val="32"/>
        </w:rPr>
        <w:t>人，退休人员</w:t>
      </w:r>
      <w:r>
        <w:rPr>
          <w:rFonts w:hint="eastAsia" w:ascii="仿宋_GB2312" w:eastAsia="仿宋_GB2312"/>
          <w:sz w:val="32"/>
          <w:szCs w:val="32"/>
          <w:lang w:val="zh-CN"/>
        </w:rPr>
        <w:t>0</w:t>
      </w:r>
      <w:r>
        <w:rPr>
          <w:rFonts w:hint="eastAsia" w:ascii="仿宋_GB2312" w:eastAsia="仿宋_GB2312"/>
          <w:sz w:val="32"/>
          <w:szCs w:val="32"/>
        </w:rPr>
        <w:t>人。</w:t>
      </w:r>
    </w:p>
    <w:p w14:paraId="44026A9B">
      <w:pPr>
        <w:ind w:firstLine="640" w:firstLineChars="200"/>
        <w:rPr>
          <w:rFonts w:ascii="仿宋_GB2312" w:eastAsia="仿宋_GB2312"/>
          <w:sz w:val="32"/>
          <w:szCs w:val="32"/>
        </w:rPr>
        <w:sectPr>
          <w:footerReference r:id="rId3" w:type="default"/>
          <w:pgSz w:w="11906" w:h="16838"/>
          <w:pgMar w:top="1440" w:right="1800" w:bottom="1440" w:left="1800" w:header="851" w:footer="992" w:gutter="0"/>
          <w:cols w:space="720" w:num="1"/>
          <w:docGrid w:type="lines" w:linePitch="312" w:charSpace="0"/>
        </w:sectPr>
      </w:pPr>
      <w:r>
        <w:rPr>
          <w:rFonts w:hint="eastAsia" w:ascii="仿宋_GB2312" w:hAnsi="黑体" w:eastAsia="仿宋_GB2312" w:cs="宋体"/>
          <w:bCs/>
          <w:kern w:val="0"/>
          <w:sz w:val="32"/>
          <w:szCs w:val="32"/>
        </w:rPr>
        <w:t>单位无下属预算单位，下设</w:t>
      </w:r>
      <w:r>
        <w:rPr>
          <w:rFonts w:hint="eastAsia" w:ascii="仿宋_GB2312" w:eastAsia="仿宋_GB2312"/>
          <w:sz w:val="32"/>
          <w:szCs w:val="32"/>
        </w:rPr>
        <w:t>2</w:t>
      </w:r>
      <w:r>
        <w:rPr>
          <w:rFonts w:hint="eastAsia" w:ascii="仿宋_GB2312" w:hAnsi="黑体" w:eastAsia="仿宋_GB2312" w:cs="宋体"/>
          <w:bCs/>
          <w:kern w:val="0"/>
          <w:sz w:val="32"/>
          <w:szCs w:val="32"/>
        </w:rPr>
        <w:t>个处室，分别是：</w:t>
      </w:r>
      <w:r>
        <w:rPr>
          <w:rFonts w:hint="eastAsia" w:ascii="仿宋_GB2312" w:eastAsia="仿宋_GB2312" w:cs="仿宋_GB2312"/>
          <w:kern w:val="0"/>
          <w:sz w:val="32"/>
          <w:szCs w:val="32"/>
          <w:lang w:val="zh-CN"/>
        </w:rPr>
        <w:t>办公室、</w:t>
      </w:r>
      <w:r>
        <w:rPr>
          <w:rFonts w:hint="eastAsia" w:ascii="仿宋_GB2312" w:hAnsi="仿宋_GB2312" w:eastAsia="仿宋_GB2312"/>
          <w:sz w:val="32"/>
        </w:rPr>
        <w:t>退役军人服务中心</w:t>
      </w:r>
      <w:r>
        <w:rPr>
          <w:rFonts w:hint="eastAsia" w:ascii="仿宋_GB2312" w:hAnsi="宋体" w:eastAsia="仿宋_GB2312" w:cs="宋体"/>
          <w:kern w:val="0"/>
          <w:sz w:val="32"/>
          <w:szCs w:val="32"/>
        </w:rPr>
        <w:t>。</w:t>
      </w:r>
    </w:p>
    <w:p w14:paraId="6A9B2BDC">
      <w:pPr>
        <w:jc w:val="center"/>
        <w:outlineLvl w:val="0"/>
        <w:rPr>
          <w:rFonts w:hint="eastAsia" w:ascii="黑体" w:hAnsi="黑体" w:eastAsia="黑体"/>
          <w:sz w:val="32"/>
          <w:szCs w:val="32"/>
        </w:rPr>
      </w:pPr>
      <w:bookmarkStart w:id="6" w:name="_Toc3092"/>
      <w:bookmarkStart w:id="7" w:name="_Toc29374"/>
      <w:r>
        <w:rPr>
          <w:rFonts w:hint="eastAsia" w:ascii="黑体" w:hAnsi="黑体" w:eastAsia="黑体"/>
          <w:sz w:val="32"/>
          <w:szCs w:val="32"/>
        </w:rPr>
        <w:t>第二部分 部门决算情况说明</w:t>
      </w:r>
      <w:bookmarkEnd w:id="6"/>
      <w:bookmarkEnd w:id="7"/>
    </w:p>
    <w:p w14:paraId="5DEE8B0F">
      <w:pPr>
        <w:ind w:firstLine="640" w:firstLineChars="200"/>
        <w:outlineLvl w:val="1"/>
        <w:rPr>
          <w:rFonts w:hint="eastAsia" w:ascii="黑体" w:hAnsi="黑体" w:eastAsia="黑体" w:cs="宋体"/>
          <w:bCs/>
          <w:kern w:val="0"/>
          <w:sz w:val="32"/>
          <w:szCs w:val="32"/>
        </w:rPr>
      </w:pPr>
      <w:bookmarkStart w:id="8" w:name="_Toc25314"/>
      <w:bookmarkStart w:id="9" w:name="_Toc12566"/>
      <w:r>
        <w:rPr>
          <w:rFonts w:hint="eastAsia" w:ascii="黑体" w:hAnsi="黑体" w:eastAsia="黑体" w:cs="宋体"/>
          <w:bCs/>
          <w:kern w:val="0"/>
          <w:sz w:val="32"/>
          <w:szCs w:val="32"/>
        </w:rPr>
        <w:t>一、收入支出决算总体情况说明</w:t>
      </w:r>
      <w:bookmarkEnd w:id="8"/>
      <w:bookmarkEnd w:id="9"/>
    </w:p>
    <w:p w14:paraId="2359AD1F">
      <w:pPr>
        <w:ind w:firstLine="640" w:firstLineChars="200"/>
        <w:jc w:val="left"/>
        <w:rPr>
          <w:rFonts w:ascii="仿宋_GB2312" w:eastAsia="仿宋_GB2312"/>
          <w:sz w:val="32"/>
          <w:szCs w:val="32"/>
        </w:rPr>
      </w:pPr>
      <w:r>
        <w:rPr>
          <w:rFonts w:hint="eastAsia" w:ascii="仿宋_GB2312" w:eastAsia="仿宋_GB2312"/>
          <w:sz w:val="32"/>
          <w:szCs w:val="32"/>
        </w:rPr>
        <w:t>2023年度收入总计1,392.79万元，其中：本年收入合计1,392.79万元，使用非财政拨款结余0.00万元，年初结转和结余0.00万元。</w:t>
      </w:r>
    </w:p>
    <w:p w14:paraId="42533C9A">
      <w:pPr>
        <w:ind w:firstLine="640" w:firstLineChars="200"/>
        <w:jc w:val="left"/>
        <w:rPr>
          <w:rFonts w:ascii="仿宋_GB2312" w:eastAsia="仿宋_GB2312"/>
          <w:sz w:val="32"/>
          <w:szCs w:val="32"/>
        </w:rPr>
      </w:pPr>
      <w:r>
        <w:rPr>
          <w:rFonts w:hint="eastAsia" w:ascii="仿宋_GB2312" w:eastAsia="仿宋_GB2312"/>
          <w:sz w:val="32"/>
          <w:szCs w:val="32"/>
        </w:rPr>
        <w:t>2023年度支出总计1,392.79万元，其中：本年支出合计1,392.76万元，结余分配0.00万元，年末结转和结余0.03万元。</w:t>
      </w:r>
    </w:p>
    <w:p w14:paraId="0E48BE95">
      <w:pPr>
        <w:ind w:firstLine="640" w:firstLineChars="200"/>
        <w:jc w:val="left"/>
        <w:rPr>
          <w:rFonts w:ascii="仿宋_GB2312" w:eastAsia="仿宋_GB2312"/>
          <w:sz w:val="32"/>
          <w:szCs w:val="32"/>
        </w:rPr>
      </w:pPr>
      <w:r>
        <w:rPr>
          <w:rFonts w:hint="eastAsia" w:ascii="仿宋_GB2312" w:eastAsia="仿宋_GB2312"/>
          <w:sz w:val="32"/>
          <w:szCs w:val="32"/>
        </w:rPr>
        <w:t>收入支出总体与上年相比，</w:t>
      </w:r>
      <w:r>
        <w:rPr>
          <w:rFonts w:hint="eastAsia" w:ascii="仿宋_GB2312" w:eastAsia="仿宋_GB2312"/>
          <w:sz w:val="32"/>
          <w:szCs w:val="32"/>
          <w:lang w:val="zh-CN"/>
        </w:rPr>
        <w:t>增加504.46万元</w:t>
      </w:r>
      <w:r>
        <w:rPr>
          <w:rFonts w:hint="eastAsia" w:ascii="仿宋_GB2312" w:eastAsia="仿宋_GB2312"/>
          <w:sz w:val="32"/>
          <w:szCs w:val="32"/>
        </w:rPr>
        <w:t>，增长56.79%，主要原因是：增加了军转干部医疗费、退役士兵一次性经济补助、地方伤残补助、立功受奖送喜报、</w:t>
      </w:r>
      <w:r>
        <w:rPr>
          <w:rFonts w:hint="eastAsia" w:eastAsia="仿宋_GB2312"/>
          <w:sz w:val="32"/>
          <w:szCs w:val="32"/>
          <w:lang w:val="zh-CN"/>
        </w:rPr>
        <w:t>人民英雄纪念碑</w:t>
      </w:r>
      <w:r>
        <w:rPr>
          <w:rFonts w:hint="eastAsia" w:ascii="仿宋_GB2312" w:eastAsia="仿宋_GB2312"/>
          <w:sz w:val="32"/>
          <w:szCs w:val="32"/>
        </w:rPr>
        <w:t>等项目经费。</w:t>
      </w:r>
    </w:p>
    <w:p w14:paraId="17C41D6B">
      <w:pPr>
        <w:ind w:firstLine="640" w:firstLineChars="200"/>
        <w:jc w:val="left"/>
        <w:outlineLvl w:val="1"/>
        <w:rPr>
          <w:rFonts w:hint="eastAsia" w:ascii="黑体" w:hAnsi="黑体" w:eastAsia="黑体" w:cs="宋体"/>
          <w:bCs/>
          <w:kern w:val="0"/>
          <w:sz w:val="32"/>
          <w:szCs w:val="32"/>
        </w:rPr>
      </w:pPr>
      <w:bookmarkStart w:id="10" w:name="_Toc1979"/>
      <w:bookmarkStart w:id="11" w:name="_Toc12142"/>
      <w:r>
        <w:rPr>
          <w:rFonts w:hint="eastAsia" w:ascii="黑体" w:hAnsi="黑体" w:eastAsia="黑体" w:cs="宋体"/>
          <w:bCs/>
          <w:kern w:val="0"/>
          <w:sz w:val="32"/>
          <w:szCs w:val="32"/>
        </w:rPr>
        <w:t>二、收入决算情况说明</w:t>
      </w:r>
      <w:bookmarkEnd w:id="10"/>
      <w:bookmarkEnd w:id="11"/>
    </w:p>
    <w:p w14:paraId="59A949B1">
      <w:pPr>
        <w:ind w:firstLine="640" w:firstLineChars="200"/>
        <w:jc w:val="left"/>
        <w:rPr>
          <w:rFonts w:ascii="仿宋_GB2312" w:eastAsia="仿宋_GB2312"/>
          <w:sz w:val="32"/>
          <w:szCs w:val="32"/>
        </w:rPr>
      </w:pPr>
      <w:r>
        <w:rPr>
          <w:rFonts w:hint="eastAsia" w:ascii="仿宋_GB2312" w:eastAsia="仿宋_GB2312"/>
          <w:sz w:val="32"/>
          <w:szCs w:val="32"/>
        </w:rPr>
        <w:t>本年收入1,392.79万元，其中：财政拨款收入</w:t>
      </w:r>
      <w:r>
        <w:rPr>
          <w:rFonts w:hint="eastAsia" w:ascii="仿宋_GB2312" w:eastAsia="仿宋_GB2312"/>
          <w:sz w:val="32"/>
          <w:szCs w:val="32"/>
          <w:lang w:val="zh-CN"/>
        </w:rPr>
        <w:t>1,392.76</w:t>
      </w:r>
      <w:r>
        <w:rPr>
          <w:rFonts w:hint="eastAsia" w:ascii="仿宋_GB2312" w:eastAsia="仿宋_GB2312"/>
          <w:sz w:val="32"/>
          <w:szCs w:val="32"/>
        </w:rPr>
        <w:t>万元，占</w:t>
      </w:r>
      <w:r>
        <w:rPr>
          <w:rFonts w:hint="eastAsia" w:ascii="仿宋_GB2312" w:eastAsia="仿宋_GB2312"/>
          <w:sz w:val="32"/>
          <w:szCs w:val="32"/>
          <w:lang w:val="zh-CN"/>
        </w:rPr>
        <w:t>100.00</w:t>
      </w:r>
      <w:r>
        <w:rPr>
          <w:rFonts w:hint="eastAsia" w:ascii="仿宋_GB2312" w:eastAsia="仿宋_GB2312"/>
          <w:sz w:val="32"/>
          <w:szCs w:val="32"/>
        </w:rPr>
        <w:t>%；上级补助收入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%；事业收入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%；经营收入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%；附属单位上缴收入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%；其他收入</w:t>
      </w:r>
      <w:r>
        <w:rPr>
          <w:rFonts w:hint="eastAsia" w:ascii="仿宋_GB2312" w:eastAsia="仿宋_GB2312"/>
          <w:sz w:val="32"/>
          <w:szCs w:val="32"/>
          <w:lang w:val="zh-CN"/>
        </w:rPr>
        <w:t>0.03</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w:t>
      </w:r>
    </w:p>
    <w:p w14:paraId="4E7CF181">
      <w:pPr>
        <w:ind w:firstLine="640" w:firstLineChars="200"/>
        <w:jc w:val="left"/>
        <w:outlineLvl w:val="1"/>
        <w:rPr>
          <w:rFonts w:hint="eastAsia" w:ascii="黑体" w:hAnsi="黑体" w:eastAsia="黑体" w:cs="宋体"/>
          <w:bCs/>
          <w:kern w:val="0"/>
          <w:sz w:val="32"/>
          <w:szCs w:val="32"/>
        </w:rPr>
      </w:pPr>
      <w:bookmarkStart w:id="12" w:name="_Toc27961"/>
      <w:bookmarkStart w:id="13" w:name="_Toc13201"/>
      <w:r>
        <w:rPr>
          <w:rFonts w:hint="eastAsia" w:ascii="黑体" w:hAnsi="黑体" w:eastAsia="黑体" w:cs="宋体"/>
          <w:bCs/>
          <w:kern w:val="0"/>
          <w:sz w:val="32"/>
          <w:szCs w:val="32"/>
        </w:rPr>
        <w:t>三、支出决算情况说明</w:t>
      </w:r>
      <w:bookmarkEnd w:id="12"/>
      <w:bookmarkEnd w:id="13"/>
    </w:p>
    <w:p w14:paraId="2A49B26A">
      <w:pPr>
        <w:ind w:firstLine="640" w:firstLineChars="200"/>
        <w:jc w:val="left"/>
        <w:rPr>
          <w:rFonts w:ascii="仿宋_GB2312" w:eastAsia="仿宋_GB2312"/>
          <w:sz w:val="32"/>
          <w:szCs w:val="32"/>
        </w:rPr>
      </w:pPr>
      <w:r>
        <w:rPr>
          <w:rFonts w:hint="eastAsia" w:ascii="仿宋_GB2312" w:eastAsia="仿宋_GB2312"/>
          <w:sz w:val="32"/>
          <w:szCs w:val="32"/>
        </w:rPr>
        <w:t>本年支出1,392.76万元，其中：基本支出134.60万元，占9.66%；项目支出1,258.16万元，占90.34%；上缴上级支出0.00万元，占0.00%；经营支出0.00万元，占0.00%；对附属单位补助支出0.00万元，占0.00%。</w:t>
      </w:r>
    </w:p>
    <w:p w14:paraId="684E4A19">
      <w:pPr>
        <w:ind w:firstLine="640" w:firstLineChars="200"/>
        <w:jc w:val="left"/>
        <w:outlineLvl w:val="1"/>
        <w:rPr>
          <w:rFonts w:hint="eastAsia" w:ascii="黑体" w:hAnsi="黑体" w:eastAsia="黑体" w:cs="宋体"/>
          <w:bCs/>
          <w:kern w:val="0"/>
          <w:sz w:val="32"/>
          <w:szCs w:val="32"/>
        </w:rPr>
      </w:pPr>
      <w:bookmarkStart w:id="14" w:name="_Toc4393"/>
      <w:bookmarkStart w:id="15" w:name="_Toc26564"/>
      <w:r>
        <w:rPr>
          <w:rFonts w:hint="eastAsia" w:ascii="黑体" w:hAnsi="黑体" w:eastAsia="黑体" w:cs="宋体"/>
          <w:bCs/>
          <w:kern w:val="0"/>
          <w:sz w:val="32"/>
          <w:szCs w:val="32"/>
        </w:rPr>
        <w:t>四、财政拨款收入支出决算总体情况说明</w:t>
      </w:r>
      <w:bookmarkEnd w:id="14"/>
      <w:bookmarkEnd w:id="15"/>
    </w:p>
    <w:p w14:paraId="1E7D86C3">
      <w:pPr>
        <w:ind w:firstLine="640" w:firstLineChars="200"/>
        <w:jc w:val="left"/>
        <w:rPr>
          <w:rFonts w:ascii="仿宋_GB2312" w:eastAsia="仿宋_GB2312"/>
          <w:sz w:val="32"/>
          <w:szCs w:val="32"/>
        </w:rPr>
      </w:pPr>
      <w:r>
        <w:rPr>
          <w:rFonts w:hint="eastAsia" w:ascii="仿宋_GB2312" w:eastAsia="仿宋_GB2312"/>
          <w:sz w:val="32"/>
          <w:szCs w:val="32"/>
        </w:rPr>
        <w:t>2023年度财政拨款收入总计</w:t>
      </w:r>
      <w:r>
        <w:rPr>
          <w:rFonts w:hint="eastAsia" w:ascii="仿宋_GB2312" w:eastAsia="仿宋_GB2312"/>
          <w:sz w:val="32"/>
          <w:szCs w:val="32"/>
          <w:lang w:val="zh-CN"/>
        </w:rPr>
        <w:t>1,392.76</w:t>
      </w:r>
      <w:r>
        <w:rPr>
          <w:rFonts w:hint="eastAsia" w:ascii="仿宋_GB2312" w:eastAsia="仿宋_GB2312"/>
          <w:sz w:val="32"/>
          <w:szCs w:val="32"/>
        </w:rPr>
        <w:t>万元，其中：年初财政拨款结转和结余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万元，本年财政拨款收入</w:t>
      </w:r>
      <w:r>
        <w:rPr>
          <w:rFonts w:hint="eastAsia" w:ascii="仿宋_GB2312" w:eastAsia="仿宋_GB2312"/>
          <w:sz w:val="32"/>
          <w:szCs w:val="32"/>
          <w:lang w:val="zh-CN"/>
        </w:rPr>
        <w:t>1,392.76</w:t>
      </w:r>
      <w:r>
        <w:rPr>
          <w:rFonts w:hint="eastAsia" w:ascii="仿宋_GB2312" w:eastAsia="仿宋_GB2312"/>
          <w:sz w:val="32"/>
          <w:szCs w:val="32"/>
        </w:rPr>
        <w:t>万元。财政拨款支出总计</w:t>
      </w:r>
      <w:r>
        <w:rPr>
          <w:rFonts w:hint="eastAsia" w:ascii="仿宋_GB2312" w:eastAsia="仿宋_GB2312"/>
          <w:sz w:val="32"/>
          <w:szCs w:val="32"/>
          <w:lang w:val="zh-CN"/>
        </w:rPr>
        <w:t>1,392.76</w:t>
      </w:r>
      <w:r>
        <w:rPr>
          <w:rFonts w:hint="eastAsia" w:ascii="仿宋_GB2312" w:eastAsia="仿宋_GB2312"/>
          <w:sz w:val="32"/>
          <w:szCs w:val="32"/>
        </w:rPr>
        <w:t>万元，其中：年末财政拨款结转和结余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万元，本年财政拨款支出</w:t>
      </w:r>
      <w:r>
        <w:rPr>
          <w:rFonts w:hint="eastAsia" w:ascii="仿宋_GB2312" w:eastAsia="仿宋_GB2312"/>
          <w:sz w:val="32"/>
          <w:szCs w:val="32"/>
          <w:lang w:val="zh-CN"/>
        </w:rPr>
        <w:t>1,392.76</w:t>
      </w:r>
      <w:r>
        <w:rPr>
          <w:rFonts w:hint="eastAsia" w:ascii="仿宋_GB2312" w:eastAsia="仿宋_GB2312"/>
          <w:sz w:val="32"/>
          <w:szCs w:val="32"/>
        </w:rPr>
        <w:t>万元。</w:t>
      </w:r>
    </w:p>
    <w:p w14:paraId="50A7ACF9">
      <w:pPr>
        <w:ind w:firstLine="640" w:firstLineChars="200"/>
        <w:jc w:val="left"/>
        <w:rPr>
          <w:rFonts w:ascii="仿宋_GB2312" w:eastAsia="仿宋_GB2312"/>
          <w:sz w:val="32"/>
          <w:szCs w:val="32"/>
        </w:rPr>
      </w:pPr>
      <w:r>
        <w:rPr>
          <w:rFonts w:hint="eastAsia" w:ascii="仿宋_GB2312" w:eastAsia="仿宋_GB2312"/>
          <w:sz w:val="32"/>
          <w:szCs w:val="32"/>
        </w:rPr>
        <w:t>财政拨款收入支出总体与上年相比,</w:t>
      </w:r>
      <w:r>
        <w:rPr>
          <w:rFonts w:hint="eastAsia" w:ascii="仿宋_GB2312" w:eastAsia="仿宋_GB2312"/>
          <w:sz w:val="32"/>
          <w:szCs w:val="32"/>
          <w:lang w:val="zh-CN"/>
        </w:rPr>
        <w:t>增加504.43万元</w:t>
      </w:r>
      <w:r>
        <w:rPr>
          <w:rFonts w:hint="eastAsia" w:ascii="仿宋_GB2312" w:eastAsia="仿宋_GB2312"/>
          <w:sz w:val="32"/>
          <w:szCs w:val="32"/>
        </w:rPr>
        <w:t>，增长56.78%,主要原因是：增加了军转干部医疗费、退役士兵一次性经济补助、地方伤残补助、立功受奖送喜报、</w:t>
      </w:r>
      <w:r>
        <w:rPr>
          <w:rFonts w:hint="eastAsia" w:eastAsia="仿宋_GB2312"/>
          <w:sz w:val="32"/>
          <w:szCs w:val="32"/>
          <w:lang w:val="zh-CN"/>
        </w:rPr>
        <w:t>人民英雄纪念碑</w:t>
      </w:r>
      <w:r>
        <w:rPr>
          <w:rFonts w:hint="eastAsia" w:ascii="仿宋_GB2312" w:eastAsia="仿宋_GB2312"/>
          <w:sz w:val="32"/>
          <w:szCs w:val="32"/>
        </w:rPr>
        <w:t>等项目经费。与年初预算相比，年初预算数</w:t>
      </w:r>
      <w:r>
        <w:rPr>
          <w:rFonts w:hint="eastAsia" w:ascii="仿宋_GB2312" w:eastAsia="仿宋_GB2312"/>
          <w:sz w:val="32"/>
          <w:szCs w:val="32"/>
          <w:lang w:val="zh-CN"/>
        </w:rPr>
        <w:t>668.00</w:t>
      </w:r>
      <w:r>
        <w:rPr>
          <w:rFonts w:hint="eastAsia" w:ascii="仿宋_GB2312" w:eastAsia="仿宋_GB2312"/>
          <w:sz w:val="32"/>
          <w:szCs w:val="32"/>
        </w:rPr>
        <w:t>万元，决算数</w:t>
      </w:r>
      <w:r>
        <w:rPr>
          <w:rFonts w:hint="eastAsia" w:ascii="仿宋_GB2312" w:eastAsia="仿宋_GB2312"/>
          <w:sz w:val="32"/>
          <w:szCs w:val="32"/>
          <w:lang w:val="zh-CN"/>
        </w:rPr>
        <w:t>1,392.76</w:t>
      </w:r>
      <w:r>
        <w:rPr>
          <w:rFonts w:hint="eastAsia" w:ascii="仿宋_GB2312" w:eastAsia="仿宋_GB2312"/>
          <w:sz w:val="32"/>
          <w:szCs w:val="32"/>
        </w:rPr>
        <w:t>万元，预决算差异率108.50%，主要原因是：追加了军转干部医疗费、退役士兵一次性经济补助、地方伤残补助、立功受奖送喜报、</w:t>
      </w:r>
      <w:r>
        <w:rPr>
          <w:rFonts w:hint="eastAsia" w:eastAsia="仿宋_GB2312"/>
          <w:sz w:val="32"/>
          <w:szCs w:val="32"/>
          <w:lang w:val="zh-CN"/>
        </w:rPr>
        <w:t>人民英雄纪念碑项目</w:t>
      </w:r>
      <w:r>
        <w:rPr>
          <w:rFonts w:hint="eastAsia" w:ascii="仿宋_GB2312" w:eastAsia="仿宋_GB2312"/>
          <w:sz w:val="32"/>
          <w:szCs w:val="32"/>
        </w:rPr>
        <w:t>经费。</w:t>
      </w:r>
    </w:p>
    <w:p w14:paraId="4BA3A6E5">
      <w:pPr>
        <w:ind w:firstLine="640" w:firstLineChars="200"/>
        <w:jc w:val="left"/>
        <w:outlineLvl w:val="1"/>
        <w:rPr>
          <w:rFonts w:hint="eastAsia" w:ascii="黑体" w:hAnsi="黑体" w:eastAsia="黑体" w:cs="宋体"/>
          <w:bCs/>
          <w:kern w:val="0"/>
          <w:sz w:val="32"/>
          <w:szCs w:val="32"/>
        </w:rPr>
      </w:pPr>
      <w:bookmarkStart w:id="16" w:name="_Toc20360"/>
      <w:bookmarkStart w:id="17" w:name="_Toc13833"/>
      <w:r>
        <w:rPr>
          <w:rFonts w:hint="eastAsia" w:ascii="黑体" w:hAnsi="黑体" w:eastAsia="黑体" w:cs="宋体"/>
          <w:bCs/>
          <w:kern w:val="0"/>
          <w:sz w:val="32"/>
          <w:szCs w:val="32"/>
        </w:rPr>
        <w:t>五、一般公共预算财政拨款支出决算情况说明</w:t>
      </w:r>
      <w:bookmarkEnd w:id="16"/>
      <w:bookmarkEnd w:id="17"/>
    </w:p>
    <w:p w14:paraId="6046823F">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（一）一般公共预算财政拨款支出决算总体情况</w:t>
      </w:r>
    </w:p>
    <w:p w14:paraId="0BFF89AD">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2023年度一般公共预算财政拨款支出1,392.76万元，占本年支出合计的</w:t>
      </w:r>
      <w:r>
        <w:rPr>
          <w:rFonts w:hint="eastAsia" w:ascii="仿宋_GB2312" w:eastAsia="仿宋_GB2312"/>
          <w:sz w:val="32"/>
          <w:szCs w:val="32"/>
          <w:lang w:val="zh-CN"/>
        </w:rPr>
        <w:t>100.00%</w:t>
      </w:r>
      <w:r>
        <w:rPr>
          <w:rFonts w:hint="eastAsia" w:ascii="仿宋_GB2312" w:eastAsia="仿宋_GB2312"/>
          <w:sz w:val="32"/>
          <w:szCs w:val="32"/>
        </w:rPr>
        <w:t>。与上年相比，</w:t>
      </w:r>
      <w:r>
        <w:rPr>
          <w:rFonts w:hint="eastAsia" w:ascii="仿宋_GB2312" w:eastAsia="仿宋_GB2312"/>
          <w:sz w:val="32"/>
          <w:szCs w:val="32"/>
          <w:lang w:val="zh-CN"/>
        </w:rPr>
        <w:t>增加504.43万元</w:t>
      </w:r>
      <w:r>
        <w:rPr>
          <w:rFonts w:hint="eastAsia" w:ascii="仿宋_GB2312" w:eastAsia="仿宋_GB2312"/>
          <w:sz w:val="32"/>
          <w:szCs w:val="32"/>
        </w:rPr>
        <w:t>，增长56.78%,主要原因是：增加了军转干部医疗费、退役士兵一次性经济补助、地方伤残补助、立功受奖送喜报、</w:t>
      </w:r>
      <w:r>
        <w:rPr>
          <w:rFonts w:hint="eastAsia" w:eastAsia="仿宋_GB2312"/>
          <w:sz w:val="32"/>
          <w:szCs w:val="32"/>
          <w:lang w:val="zh-CN"/>
        </w:rPr>
        <w:t>人民英雄纪念碑等</w:t>
      </w:r>
      <w:r>
        <w:rPr>
          <w:rFonts w:hint="eastAsia" w:ascii="仿宋_GB2312" w:eastAsia="仿宋_GB2312"/>
          <w:sz w:val="32"/>
          <w:szCs w:val="32"/>
        </w:rPr>
        <w:t>项目经费。与年初预算相比，年初预算数</w:t>
      </w:r>
      <w:r>
        <w:rPr>
          <w:rFonts w:hint="eastAsia" w:ascii="仿宋_GB2312" w:eastAsia="仿宋_GB2312"/>
          <w:sz w:val="32"/>
          <w:szCs w:val="32"/>
          <w:lang w:val="zh-CN"/>
        </w:rPr>
        <w:t>668.00</w:t>
      </w:r>
      <w:r>
        <w:rPr>
          <w:rFonts w:hint="eastAsia" w:ascii="仿宋_GB2312" w:eastAsia="仿宋_GB2312"/>
          <w:sz w:val="32"/>
          <w:szCs w:val="32"/>
        </w:rPr>
        <w:t>万元，决算数</w:t>
      </w:r>
      <w:r>
        <w:rPr>
          <w:rFonts w:hint="eastAsia" w:ascii="仿宋_GB2312" w:eastAsia="仿宋_GB2312"/>
          <w:sz w:val="32"/>
          <w:szCs w:val="32"/>
          <w:lang w:val="zh-CN"/>
        </w:rPr>
        <w:t>1,392.76</w:t>
      </w:r>
      <w:r>
        <w:rPr>
          <w:rFonts w:hint="eastAsia" w:ascii="仿宋_GB2312" w:eastAsia="仿宋_GB2312"/>
          <w:sz w:val="32"/>
          <w:szCs w:val="32"/>
        </w:rPr>
        <w:t>万元，预决算差异率</w:t>
      </w:r>
      <w:r>
        <w:rPr>
          <w:rFonts w:hint="eastAsia" w:ascii="仿宋_GB2312" w:eastAsia="仿宋_GB2312"/>
          <w:sz w:val="32"/>
          <w:szCs w:val="32"/>
          <w:lang w:val="zh-CN"/>
        </w:rPr>
        <w:t>108.50%</w:t>
      </w:r>
      <w:r>
        <w:rPr>
          <w:rFonts w:hint="eastAsia" w:ascii="仿宋_GB2312" w:eastAsia="仿宋_GB2312"/>
          <w:sz w:val="32"/>
          <w:szCs w:val="32"/>
        </w:rPr>
        <w:t>，主要原因是：追加了军转干部医疗费、退役士兵一次性经济补助、地方伤残补助、立功受奖送喜报、</w:t>
      </w:r>
      <w:r>
        <w:rPr>
          <w:rFonts w:hint="eastAsia" w:eastAsia="仿宋_GB2312"/>
          <w:sz w:val="32"/>
          <w:szCs w:val="32"/>
          <w:lang w:val="zh-CN"/>
        </w:rPr>
        <w:t>人民英雄纪念碑项目</w:t>
      </w:r>
      <w:r>
        <w:rPr>
          <w:rFonts w:hint="eastAsia" w:ascii="仿宋_GB2312" w:eastAsia="仿宋_GB2312"/>
          <w:sz w:val="32"/>
          <w:szCs w:val="32"/>
        </w:rPr>
        <w:t>经费。</w:t>
      </w:r>
    </w:p>
    <w:p w14:paraId="65515CB4">
      <w:pPr>
        <w:numPr>
          <w:ilvl w:val="0"/>
          <w:numId w:val="1"/>
        </w:num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一般公共预算财政拨款支出决算结构情况</w:t>
      </w:r>
    </w:p>
    <w:p w14:paraId="39A5D0B0">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1</w:t>
      </w:r>
      <w:r>
        <w:rPr>
          <w:rFonts w:ascii="仿宋_GB2312" w:eastAsia="仿宋_GB2312"/>
          <w:kern w:val="2"/>
          <w:sz w:val="32"/>
          <w:szCs w:val="32"/>
          <w:lang w:val="zh-CN"/>
        </w:rPr>
        <w:t>.社会保障和就业支出（类）</w:t>
      </w:r>
      <w:r>
        <w:rPr>
          <w:rFonts w:hint="eastAsia" w:ascii="仿宋_GB2312" w:eastAsia="仿宋_GB2312"/>
          <w:kern w:val="2"/>
          <w:sz w:val="32"/>
          <w:szCs w:val="32"/>
          <w:lang w:val="zh-CN"/>
        </w:rPr>
        <w:t>1,377.38</w:t>
      </w:r>
      <w:r>
        <w:rPr>
          <w:rFonts w:ascii="仿宋_GB2312" w:eastAsia="仿宋_GB2312"/>
          <w:kern w:val="2"/>
          <w:sz w:val="32"/>
          <w:szCs w:val="32"/>
          <w:lang w:val="zh-CN"/>
        </w:rPr>
        <w:t>万元，占</w:t>
      </w:r>
      <w:r>
        <w:rPr>
          <w:rFonts w:hint="eastAsia" w:ascii="仿宋_GB2312" w:eastAsia="仿宋_GB2312"/>
          <w:kern w:val="2"/>
          <w:sz w:val="32"/>
          <w:szCs w:val="32"/>
          <w:lang w:val="zh-CN"/>
        </w:rPr>
        <w:t>98.90</w:t>
      </w:r>
      <w:r>
        <w:rPr>
          <w:rFonts w:ascii="仿宋_GB2312" w:eastAsia="仿宋_GB2312"/>
          <w:kern w:val="2"/>
          <w:sz w:val="32"/>
          <w:szCs w:val="32"/>
          <w:lang w:val="zh-CN"/>
        </w:rPr>
        <w:t>%；</w:t>
      </w:r>
    </w:p>
    <w:p w14:paraId="2943BBD7">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2</w:t>
      </w:r>
      <w:r>
        <w:rPr>
          <w:rFonts w:ascii="仿宋_GB2312" w:eastAsia="仿宋_GB2312"/>
          <w:kern w:val="2"/>
          <w:sz w:val="32"/>
          <w:szCs w:val="32"/>
          <w:lang w:val="zh-CN"/>
        </w:rPr>
        <w:t>.卫生健康支出（类）</w:t>
      </w:r>
      <w:r>
        <w:rPr>
          <w:rFonts w:hint="eastAsia" w:ascii="仿宋_GB2312" w:eastAsia="仿宋_GB2312"/>
          <w:kern w:val="2"/>
          <w:sz w:val="32"/>
          <w:szCs w:val="32"/>
          <w:lang w:val="zh-CN"/>
        </w:rPr>
        <w:t>1.00</w:t>
      </w:r>
      <w:r>
        <w:rPr>
          <w:rFonts w:ascii="仿宋_GB2312" w:eastAsia="仿宋_GB2312"/>
          <w:kern w:val="2"/>
          <w:sz w:val="32"/>
          <w:szCs w:val="32"/>
          <w:lang w:val="zh-CN"/>
        </w:rPr>
        <w:t>万元，占</w:t>
      </w:r>
      <w:r>
        <w:rPr>
          <w:rFonts w:hint="eastAsia" w:ascii="仿宋_GB2312" w:eastAsia="仿宋_GB2312"/>
          <w:kern w:val="2"/>
          <w:sz w:val="32"/>
          <w:szCs w:val="32"/>
          <w:lang w:val="zh-CN"/>
        </w:rPr>
        <w:t>0.07</w:t>
      </w:r>
      <w:r>
        <w:rPr>
          <w:rFonts w:ascii="仿宋_GB2312" w:eastAsia="仿宋_GB2312"/>
          <w:kern w:val="2"/>
          <w:sz w:val="32"/>
          <w:szCs w:val="32"/>
          <w:lang w:val="zh-CN"/>
        </w:rPr>
        <w:t>%；</w:t>
      </w:r>
    </w:p>
    <w:p w14:paraId="7ED71CB5">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3</w:t>
      </w:r>
      <w:r>
        <w:rPr>
          <w:rFonts w:ascii="仿宋_GB2312" w:eastAsia="仿宋_GB2312"/>
          <w:kern w:val="2"/>
          <w:sz w:val="32"/>
          <w:szCs w:val="32"/>
          <w:lang w:val="zh-CN"/>
        </w:rPr>
        <w:t>.住房保障支出（类）</w:t>
      </w:r>
      <w:r>
        <w:rPr>
          <w:rFonts w:hint="eastAsia" w:ascii="仿宋_GB2312" w:eastAsia="仿宋_GB2312"/>
          <w:kern w:val="2"/>
          <w:sz w:val="32"/>
          <w:szCs w:val="32"/>
          <w:lang w:val="zh-CN"/>
        </w:rPr>
        <w:t>9.38</w:t>
      </w:r>
      <w:r>
        <w:rPr>
          <w:rFonts w:ascii="仿宋_GB2312" w:eastAsia="仿宋_GB2312"/>
          <w:kern w:val="2"/>
          <w:sz w:val="32"/>
          <w:szCs w:val="32"/>
          <w:lang w:val="zh-CN"/>
        </w:rPr>
        <w:t>万元，占</w:t>
      </w:r>
      <w:r>
        <w:rPr>
          <w:rFonts w:hint="eastAsia" w:ascii="仿宋_GB2312" w:eastAsia="仿宋_GB2312"/>
          <w:kern w:val="2"/>
          <w:sz w:val="32"/>
          <w:szCs w:val="32"/>
          <w:lang w:val="zh-CN"/>
        </w:rPr>
        <w:t>0.67</w:t>
      </w:r>
      <w:r>
        <w:rPr>
          <w:rFonts w:ascii="仿宋_GB2312" w:eastAsia="仿宋_GB2312"/>
          <w:kern w:val="2"/>
          <w:sz w:val="32"/>
          <w:szCs w:val="32"/>
          <w:lang w:val="zh-CN"/>
        </w:rPr>
        <w:t>%；</w:t>
      </w:r>
    </w:p>
    <w:p w14:paraId="1D7543A4">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4</w:t>
      </w:r>
      <w:r>
        <w:rPr>
          <w:rFonts w:ascii="仿宋_GB2312" w:eastAsia="仿宋_GB2312"/>
          <w:kern w:val="2"/>
          <w:sz w:val="32"/>
          <w:szCs w:val="32"/>
          <w:lang w:val="zh-CN"/>
        </w:rPr>
        <w:t>.其他支出（类）</w:t>
      </w:r>
      <w:r>
        <w:rPr>
          <w:rFonts w:hint="eastAsia" w:ascii="仿宋_GB2312" w:eastAsia="仿宋_GB2312"/>
          <w:kern w:val="2"/>
          <w:sz w:val="32"/>
          <w:szCs w:val="32"/>
          <w:lang w:val="zh-CN"/>
        </w:rPr>
        <w:t>5.00</w:t>
      </w:r>
      <w:r>
        <w:rPr>
          <w:rFonts w:ascii="仿宋_GB2312" w:eastAsia="仿宋_GB2312"/>
          <w:kern w:val="2"/>
          <w:sz w:val="32"/>
          <w:szCs w:val="32"/>
          <w:lang w:val="zh-CN"/>
        </w:rPr>
        <w:t>万元，占</w:t>
      </w:r>
      <w:r>
        <w:rPr>
          <w:rFonts w:hint="eastAsia" w:ascii="仿宋_GB2312" w:eastAsia="仿宋_GB2312"/>
          <w:kern w:val="2"/>
          <w:sz w:val="32"/>
          <w:szCs w:val="32"/>
          <w:lang w:val="zh-CN"/>
        </w:rPr>
        <w:t>0.36</w:t>
      </w:r>
      <w:r>
        <w:rPr>
          <w:rFonts w:ascii="仿宋_GB2312" w:eastAsia="仿宋_GB2312"/>
          <w:kern w:val="2"/>
          <w:sz w:val="32"/>
          <w:szCs w:val="32"/>
          <w:lang w:val="zh-CN"/>
        </w:rPr>
        <w:t>%</w:t>
      </w:r>
      <w:r>
        <w:rPr>
          <w:rFonts w:hint="eastAsia" w:ascii="仿宋_GB2312" w:eastAsia="仿宋_GB2312"/>
          <w:kern w:val="2"/>
          <w:sz w:val="32"/>
          <w:szCs w:val="32"/>
          <w:lang w:val="zh-CN"/>
        </w:rPr>
        <w:t>。</w:t>
      </w:r>
    </w:p>
    <w:p w14:paraId="37EA3035">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（三）一般公共预算财政拨款支出决算具体情况</w:t>
      </w:r>
    </w:p>
    <w:p w14:paraId="2E48321A">
      <w:pPr>
        <w:ind w:firstLine="640" w:firstLineChars="200"/>
        <w:jc w:val="left"/>
        <w:rPr>
          <w:rFonts w:ascii="仿宋_GB2312" w:eastAsia="仿宋_GB2312"/>
          <w:sz w:val="32"/>
          <w:szCs w:val="32"/>
        </w:rPr>
      </w:pPr>
      <w:r>
        <w:rPr>
          <w:rFonts w:hint="eastAsia" w:ascii="仿宋_GB2312" w:eastAsia="仿宋_GB2312"/>
          <w:sz w:val="32"/>
          <w:szCs w:val="32"/>
        </w:rPr>
        <w:t>1.社会保障和就业支出（类）抚恤（款）烈士纪念设施管理维护（项）:支出决算数为157.00万元，比上年决算增加142.00万元，增长946.</w:t>
      </w:r>
      <w:r>
        <w:rPr>
          <w:rFonts w:hint="eastAsia" w:ascii="仿宋_GB2312" w:eastAsia="仿宋_GB2312"/>
          <w:sz w:val="32"/>
          <w:szCs w:val="32"/>
          <w:lang w:val="en-US" w:eastAsia="zh-CN"/>
        </w:rPr>
        <w:t>67</w:t>
      </w:r>
      <w:r>
        <w:rPr>
          <w:rFonts w:hint="eastAsia" w:ascii="仿宋_GB2312" w:eastAsia="仿宋_GB2312"/>
          <w:sz w:val="32"/>
          <w:szCs w:val="32"/>
        </w:rPr>
        <w:t>%，主要原因是：增加了人民英雄纪念碑项目经费。</w:t>
      </w:r>
    </w:p>
    <w:p w14:paraId="22B6E8E9">
      <w:pPr>
        <w:ind w:firstLine="640" w:firstLineChars="200"/>
        <w:jc w:val="left"/>
        <w:rPr>
          <w:rFonts w:ascii="仿宋_GB2312" w:eastAsia="仿宋_GB2312"/>
          <w:sz w:val="32"/>
          <w:szCs w:val="32"/>
        </w:rPr>
      </w:pPr>
      <w:r>
        <w:rPr>
          <w:rFonts w:hint="eastAsia" w:ascii="仿宋_GB2312" w:eastAsia="仿宋_GB2312"/>
          <w:sz w:val="32"/>
          <w:szCs w:val="32"/>
        </w:rPr>
        <w:t>2.社会保障和就业支出（类）退役安置（款）军队转业干部安置（项）:支出决算数为105.92万元，比上年决算减少2.2</w:t>
      </w:r>
      <w:r>
        <w:rPr>
          <w:rFonts w:hint="eastAsia" w:ascii="仿宋_GB2312" w:eastAsia="仿宋_GB2312"/>
          <w:sz w:val="32"/>
          <w:szCs w:val="32"/>
          <w:lang w:val="en-US" w:eastAsia="zh-CN"/>
        </w:rPr>
        <w:t>8</w:t>
      </w:r>
      <w:r>
        <w:rPr>
          <w:rFonts w:hint="eastAsia" w:ascii="仿宋_GB2312" w:eastAsia="仿宋_GB2312"/>
          <w:sz w:val="32"/>
          <w:szCs w:val="32"/>
        </w:rPr>
        <w:t>万元，下降2.11%，主要原因是：单位本年军转干部生活费、服务管理费减少。</w:t>
      </w:r>
    </w:p>
    <w:p w14:paraId="5E1207D6">
      <w:pPr>
        <w:ind w:firstLine="640" w:firstLineChars="200"/>
        <w:jc w:val="left"/>
        <w:rPr>
          <w:rFonts w:ascii="仿宋_GB2312" w:eastAsia="仿宋_GB2312"/>
          <w:sz w:val="32"/>
          <w:szCs w:val="32"/>
        </w:rPr>
      </w:pPr>
      <w:r>
        <w:rPr>
          <w:rFonts w:hint="eastAsia" w:ascii="仿宋_GB2312" w:eastAsia="仿宋_GB2312"/>
          <w:sz w:val="32"/>
          <w:szCs w:val="32"/>
        </w:rPr>
        <w:t>3.卫生健康支出（类）优抚对象医疗（款）其他优抚对象医疗支出（项）:支出决算数为1.00万元，比上年决算增加0.37万元，增长58.73%，主要原因是：本年优抚对象医疗保障项目经费增加。</w:t>
      </w:r>
    </w:p>
    <w:p w14:paraId="74C38ABC">
      <w:pPr>
        <w:ind w:firstLine="640" w:firstLineChars="200"/>
        <w:jc w:val="left"/>
        <w:rPr>
          <w:rFonts w:ascii="仿宋_GB2312" w:eastAsia="仿宋_GB2312"/>
          <w:sz w:val="32"/>
          <w:szCs w:val="32"/>
        </w:rPr>
      </w:pPr>
      <w:r>
        <w:rPr>
          <w:rFonts w:hint="eastAsia" w:ascii="仿宋_GB2312" w:eastAsia="仿宋_GB2312"/>
          <w:sz w:val="32"/>
          <w:szCs w:val="32"/>
        </w:rPr>
        <w:t>4.住房保障支出（类）住房改革支出（款）住房公积金（项）:支出决算数为9.38万元，比上年决算增加0.87万元，增长10.</w:t>
      </w:r>
      <w:r>
        <w:rPr>
          <w:rFonts w:hint="eastAsia" w:ascii="仿宋_GB2312" w:eastAsia="仿宋_GB2312"/>
          <w:sz w:val="32"/>
          <w:szCs w:val="32"/>
          <w:lang w:val="en-US" w:eastAsia="zh-CN"/>
        </w:rPr>
        <w:t>35</w:t>
      </w:r>
      <w:r>
        <w:rPr>
          <w:rFonts w:hint="eastAsia" w:ascii="仿宋_GB2312" w:eastAsia="仿宋_GB2312"/>
          <w:sz w:val="32"/>
          <w:szCs w:val="32"/>
        </w:rPr>
        <w:t>%，主要原因是：单位本年人员增加，相应人员公积金缴费增加。</w:t>
      </w:r>
    </w:p>
    <w:p w14:paraId="0CAE4104">
      <w:pPr>
        <w:ind w:firstLine="640" w:firstLineChars="200"/>
        <w:jc w:val="left"/>
        <w:rPr>
          <w:rFonts w:ascii="仿宋_GB2312" w:eastAsia="仿宋_GB2312"/>
          <w:sz w:val="32"/>
          <w:szCs w:val="32"/>
        </w:rPr>
      </w:pPr>
      <w:r>
        <w:rPr>
          <w:rFonts w:hint="eastAsia" w:ascii="仿宋_GB2312" w:eastAsia="仿宋_GB2312"/>
          <w:sz w:val="32"/>
          <w:szCs w:val="32"/>
        </w:rPr>
        <w:t>5.社会保障和就业支出（类）抚恤（款）死亡抚恤（项）:支出决算数为30.92万元，比上年决算增加30.92万元，增长100%，主要原因是：军休干部王万福去世，本年一次性死亡抚恤金增加。</w:t>
      </w:r>
    </w:p>
    <w:p w14:paraId="1400ED87">
      <w:pPr>
        <w:ind w:firstLine="640" w:firstLineChars="200"/>
        <w:jc w:val="left"/>
        <w:rPr>
          <w:rFonts w:ascii="仿宋_GB2312" w:eastAsia="仿宋_GB2312"/>
          <w:sz w:val="32"/>
          <w:szCs w:val="32"/>
        </w:rPr>
      </w:pPr>
      <w:r>
        <w:rPr>
          <w:rFonts w:hint="eastAsia" w:ascii="仿宋_GB2312" w:eastAsia="仿宋_GB2312"/>
          <w:sz w:val="32"/>
          <w:szCs w:val="32"/>
        </w:rPr>
        <w:t>6.社会保障和就业支出（类）退役安置（款）退役士兵安置（项）:支出决算数为108.28万元，比上年决算增加68.55万元，增长172.</w:t>
      </w:r>
      <w:r>
        <w:rPr>
          <w:rFonts w:hint="eastAsia" w:ascii="仿宋_GB2312" w:eastAsia="仿宋_GB2312"/>
          <w:sz w:val="32"/>
          <w:szCs w:val="32"/>
          <w:lang w:val="en-US" w:eastAsia="zh-CN"/>
        </w:rPr>
        <w:t>54</w:t>
      </w:r>
      <w:r>
        <w:rPr>
          <w:rFonts w:hint="eastAsia" w:ascii="仿宋_GB2312" w:eastAsia="仿宋_GB2312"/>
          <w:sz w:val="32"/>
          <w:szCs w:val="32"/>
        </w:rPr>
        <w:t>%，主要原因是：退役士兵一次性经济补助金增加。</w:t>
      </w:r>
    </w:p>
    <w:p w14:paraId="02A51AEE">
      <w:pPr>
        <w:ind w:firstLine="640" w:firstLineChars="200"/>
        <w:jc w:val="left"/>
        <w:rPr>
          <w:rFonts w:ascii="仿宋_GB2312" w:eastAsia="仿宋_GB2312"/>
          <w:sz w:val="32"/>
          <w:szCs w:val="32"/>
        </w:rPr>
      </w:pPr>
      <w:r>
        <w:rPr>
          <w:rFonts w:hint="eastAsia" w:ascii="仿宋_GB2312" w:eastAsia="仿宋_GB2312"/>
          <w:sz w:val="32"/>
          <w:szCs w:val="32"/>
        </w:rPr>
        <w:t>7.社会保障和就业支出（类）退役军人管理事务（款）拥军优属（项）:支出决算数为39.19万元，比上年决算增加29.9</w:t>
      </w:r>
      <w:r>
        <w:rPr>
          <w:rFonts w:hint="eastAsia" w:ascii="仿宋_GB2312" w:eastAsia="仿宋_GB2312"/>
          <w:sz w:val="32"/>
          <w:szCs w:val="32"/>
          <w:lang w:val="en-US" w:eastAsia="zh-CN"/>
        </w:rPr>
        <w:t>8</w:t>
      </w:r>
      <w:r>
        <w:rPr>
          <w:rFonts w:hint="eastAsia" w:ascii="仿宋_GB2312" w:eastAsia="仿宋_GB2312"/>
          <w:sz w:val="32"/>
          <w:szCs w:val="32"/>
        </w:rPr>
        <w:t>万元，增长325.</w:t>
      </w:r>
      <w:r>
        <w:rPr>
          <w:rFonts w:hint="eastAsia" w:ascii="仿宋_GB2312" w:eastAsia="仿宋_GB2312"/>
          <w:sz w:val="32"/>
          <w:szCs w:val="32"/>
          <w:lang w:val="en-US" w:eastAsia="zh-CN"/>
        </w:rPr>
        <w:t>52</w:t>
      </w:r>
      <w:r>
        <w:rPr>
          <w:rFonts w:hint="eastAsia" w:ascii="仿宋_GB2312" w:eastAsia="仿宋_GB2312"/>
          <w:sz w:val="32"/>
          <w:szCs w:val="32"/>
        </w:rPr>
        <w:t>%，主要原因是：2023年春节、八·一两节慰问费增加。</w:t>
      </w:r>
    </w:p>
    <w:p w14:paraId="1306C97F">
      <w:pPr>
        <w:ind w:firstLine="640" w:firstLineChars="200"/>
        <w:jc w:val="left"/>
        <w:rPr>
          <w:rFonts w:ascii="仿宋_GB2312" w:eastAsia="仿宋_GB2312"/>
          <w:sz w:val="32"/>
          <w:szCs w:val="32"/>
        </w:rPr>
      </w:pPr>
      <w:r>
        <w:rPr>
          <w:rFonts w:hint="eastAsia" w:ascii="仿宋_GB2312" w:eastAsia="仿宋_GB2312"/>
          <w:sz w:val="32"/>
          <w:szCs w:val="32"/>
        </w:rPr>
        <w:t>8.社会保障和就业支出（类）抚恤（款）其他优抚支出（项）:支出决算数为465.42万元，比上年决算增加34.45万元，增长7.99%，主要原因是：优抚对象人数增加，优抚对象生活补助费增加。</w:t>
      </w:r>
    </w:p>
    <w:p w14:paraId="066CC6FD">
      <w:pPr>
        <w:ind w:firstLine="640" w:firstLineChars="200"/>
        <w:jc w:val="left"/>
        <w:rPr>
          <w:rFonts w:ascii="仿宋_GB2312" w:eastAsia="仿宋_GB2312"/>
          <w:sz w:val="32"/>
          <w:szCs w:val="32"/>
        </w:rPr>
      </w:pPr>
      <w:r>
        <w:rPr>
          <w:rFonts w:hint="eastAsia" w:ascii="仿宋_GB2312" w:eastAsia="仿宋_GB2312"/>
          <w:sz w:val="32"/>
          <w:szCs w:val="32"/>
        </w:rPr>
        <w:t>9.社会保障和就业支出（类）抚恤（款）义务兵优待（项）:支出决算数为171.00万元，比上年决算增加64.31万元，增长60.28%，主要原因是：义务兵人数增加，义务兵优待金增加。</w:t>
      </w:r>
    </w:p>
    <w:p w14:paraId="161A84B8">
      <w:pPr>
        <w:ind w:firstLine="640" w:firstLineChars="200"/>
        <w:jc w:val="left"/>
        <w:rPr>
          <w:rFonts w:ascii="仿宋_GB2312" w:eastAsia="仿宋_GB2312"/>
          <w:sz w:val="32"/>
          <w:szCs w:val="32"/>
        </w:rPr>
      </w:pPr>
      <w:r>
        <w:rPr>
          <w:rFonts w:hint="eastAsia" w:ascii="仿宋_GB2312" w:eastAsia="仿宋_GB2312"/>
          <w:sz w:val="32"/>
          <w:szCs w:val="32"/>
        </w:rPr>
        <w:t>10.社会保障和就业支出（类）退役军人管理事务（款）行政运行（项）:支出决算数为106.45万元，比上年决算减少2.1</w:t>
      </w:r>
      <w:r>
        <w:rPr>
          <w:rFonts w:hint="eastAsia" w:ascii="仿宋_GB2312" w:eastAsia="仿宋_GB2312"/>
          <w:sz w:val="32"/>
          <w:szCs w:val="32"/>
          <w:lang w:val="en-US" w:eastAsia="zh-CN"/>
        </w:rPr>
        <w:t>0</w:t>
      </w:r>
      <w:r>
        <w:rPr>
          <w:rFonts w:hint="eastAsia" w:ascii="仿宋_GB2312" w:eastAsia="仿宋_GB2312"/>
          <w:sz w:val="32"/>
          <w:szCs w:val="32"/>
        </w:rPr>
        <w:t>万元，下降1.9</w:t>
      </w:r>
      <w:r>
        <w:rPr>
          <w:rFonts w:hint="eastAsia" w:ascii="仿宋_GB2312" w:eastAsia="仿宋_GB2312"/>
          <w:sz w:val="32"/>
          <w:szCs w:val="32"/>
          <w:lang w:val="en-US" w:eastAsia="zh-CN"/>
        </w:rPr>
        <w:t>3</w:t>
      </w:r>
      <w:r>
        <w:rPr>
          <w:rFonts w:hint="eastAsia" w:ascii="仿宋_GB2312" w:eastAsia="仿宋_GB2312"/>
          <w:sz w:val="32"/>
          <w:szCs w:val="32"/>
        </w:rPr>
        <w:t>%，主要原因是：单位本年人员绩效工资补助较上年减少。</w:t>
      </w:r>
    </w:p>
    <w:p w14:paraId="12625226">
      <w:pPr>
        <w:ind w:firstLine="640" w:firstLineChars="200"/>
        <w:jc w:val="left"/>
        <w:rPr>
          <w:rFonts w:ascii="仿宋_GB2312" w:eastAsia="仿宋_GB2312"/>
          <w:sz w:val="32"/>
          <w:szCs w:val="32"/>
        </w:rPr>
      </w:pPr>
      <w:r>
        <w:rPr>
          <w:rFonts w:hint="eastAsia" w:ascii="仿宋_GB2312" w:eastAsia="仿宋_GB2312"/>
          <w:sz w:val="32"/>
          <w:szCs w:val="32"/>
        </w:rPr>
        <w:t>11.社会保障和就业支出（类）行政事业单位养老支出（款）机关事业单位基本养老保险缴费支出（项）:支出决算数为12.02万元，比上年决算增加1.05万元，增长9.</w:t>
      </w:r>
      <w:r>
        <w:rPr>
          <w:rFonts w:hint="eastAsia" w:ascii="仿宋_GB2312" w:eastAsia="仿宋_GB2312"/>
          <w:sz w:val="32"/>
          <w:szCs w:val="32"/>
          <w:lang w:val="en-US" w:eastAsia="zh-CN"/>
        </w:rPr>
        <w:t>57</w:t>
      </w:r>
      <w:r>
        <w:rPr>
          <w:rFonts w:hint="eastAsia" w:ascii="仿宋_GB2312" w:eastAsia="仿宋_GB2312"/>
          <w:sz w:val="32"/>
          <w:szCs w:val="32"/>
        </w:rPr>
        <w:t>%，主要原因是：单位本年人员增加，相应养老保险缴费增加。</w:t>
      </w:r>
    </w:p>
    <w:p w14:paraId="60F64455">
      <w:pPr>
        <w:ind w:firstLine="640" w:firstLineChars="200"/>
        <w:jc w:val="left"/>
        <w:rPr>
          <w:rFonts w:ascii="仿宋_GB2312" w:eastAsia="仿宋_GB2312"/>
          <w:sz w:val="32"/>
          <w:szCs w:val="32"/>
        </w:rPr>
      </w:pPr>
      <w:r>
        <w:rPr>
          <w:rFonts w:hint="eastAsia" w:ascii="仿宋_GB2312" w:eastAsia="仿宋_GB2312"/>
          <w:sz w:val="32"/>
          <w:szCs w:val="32"/>
        </w:rPr>
        <w:t>12.社会保障和就业支出（类）抚恤（款）伤残抚恤（项）:支出决算数为17.04万元，比上年决算减少2.07万元，下降10.8</w:t>
      </w:r>
      <w:r>
        <w:rPr>
          <w:rFonts w:hint="eastAsia" w:ascii="仿宋_GB2312" w:eastAsia="仿宋_GB2312"/>
          <w:sz w:val="32"/>
          <w:szCs w:val="32"/>
          <w:lang w:val="en-US" w:eastAsia="zh-CN"/>
        </w:rPr>
        <w:t>3</w:t>
      </w:r>
      <w:r>
        <w:rPr>
          <w:rFonts w:hint="eastAsia" w:ascii="仿宋_GB2312" w:eastAsia="仿宋_GB2312"/>
          <w:sz w:val="32"/>
          <w:szCs w:val="32"/>
        </w:rPr>
        <w:t>%，主要原因是：单位本年地方伤残人员伤残补助项目经费减少。</w:t>
      </w:r>
    </w:p>
    <w:p w14:paraId="62A86A7C">
      <w:pPr>
        <w:ind w:firstLine="640" w:firstLineChars="200"/>
        <w:jc w:val="left"/>
        <w:rPr>
          <w:rFonts w:ascii="仿宋_GB2312" w:eastAsia="仿宋_GB2312"/>
          <w:sz w:val="32"/>
          <w:szCs w:val="32"/>
        </w:rPr>
      </w:pPr>
      <w:r>
        <w:rPr>
          <w:rFonts w:hint="eastAsia" w:ascii="仿宋_GB2312" w:eastAsia="仿宋_GB2312"/>
          <w:sz w:val="32"/>
          <w:szCs w:val="32"/>
        </w:rPr>
        <w:t>13.社会保障和就业支出（类）退役安置（款）其他退役安置支出（项）:支出决算数为157.40万元，比上年决算增加157.40万元，增长100%，主要原因是：增加退役士兵一次性经济补助金。</w:t>
      </w:r>
    </w:p>
    <w:p w14:paraId="720A0FAE">
      <w:pPr>
        <w:ind w:firstLine="640" w:firstLineChars="200"/>
        <w:jc w:val="left"/>
        <w:rPr>
          <w:rFonts w:ascii="仿宋_GB2312" w:eastAsia="仿宋_GB2312"/>
          <w:sz w:val="32"/>
          <w:szCs w:val="32"/>
        </w:rPr>
      </w:pPr>
      <w:r>
        <w:rPr>
          <w:rFonts w:hint="eastAsia" w:ascii="仿宋_GB2312" w:eastAsia="仿宋_GB2312"/>
          <w:sz w:val="32"/>
          <w:szCs w:val="32"/>
        </w:rPr>
        <w:t>14.社会保障和就业支出（类）人力资源和社会保障管理事务（款）行政运行（项）:支出决算数为6.75万元，比上年决算增加6.75万元，增长100%，主要原因是：增加双拥工作办公经费。</w:t>
      </w:r>
    </w:p>
    <w:p w14:paraId="070870FD">
      <w:pPr>
        <w:ind w:firstLine="640" w:firstLineChars="200"/>
        <w:jc w:val="left"/>
        <w:rPr>
          <w:rFonts w:ascii="仿宋_GB2312" w:eastAsia="仿宋_GB2312"/>
          <w:sz w:val="32"/>
          <w:szCs w:val="32"/>
        </w:rPr>
      </w:pPr>
      <w:r>
        <w:rPr>
          <w:rFonts w:hint="eastAsia" w:ascii="仿宋_GB2312" w:eastAsia="仿宋_GB2312"/>
          <w:sz w:val="32"/>
          <w:szCs w:val="32"/>
        </w:rPr>
        <w:t>15.其他支出（类）其他支出（款）其他支出（项）:支出决算数为5.00万元，比上年决算增加4.51万元，增长9</w:t>
      </w:r>
      <w:r>
        <w:rPr>
          <w:rFonts w:hint="eastAsia" w:ascii="仿宋_GB2312" w:eastAsia="仿宋_GB2312"/>
          <w:sz w:val="32"/>
          <w:szCs w:val="32"/>
          <w:lang w:val="en-US" w:eastAsia="zh-CN"/>
        </w:rPr>
        <w:t>20.41</w:t>
      </w:r>
      <w:r>
        <w:rPr>
          <w:rFonts w:hint="eastAsia" w:ascii="仿宋_GB2312" w:eastAsia="仿宋_GB2312"/>
          <w:sz w:val="32"/>
          <w:szCs w:val="32"/>
        </w:rPr>
        <w:t>%，主要原因是：本年增加为民办实事社区工作经费。</w:t>
      </w:r>
    </w:p>
    <w:p w14:paraId="69E3473D">
      <w:pPr>
        <w:ind w:firstLine="640" w:firstLineChars="200"/>
        <w:jc w:val="left"/>
        <w:rPr>
          <w:rFonts w:ascii="仿宋_GB2312" w:eastAsia="仿宋_GB2312"/>
          <w:sz w:val="32"/>
          <w:szCs w:val="32"/>
        </w:rPr>
      </w:pPr>
      <w:r>
        <w:rPr>
          <w:rFonts w:hint="eastAsia" w:ascii="仿宋_GB2312" w:eastAsia="仿宋_GB2312"/>
          <w:sz w:val="32"/>
          <w:szCs w:val="32"/>
        </w:rPr>
        <w:t>16.社会保障和就业支出（类）退役安置（款）军队移交政府的离退休人员安置（项）:支出决算数为0.00万元，比上年决算减少20.98万元，下降100%，主要原因是：单位本年减少安置军休人员、无军籍干部补助资金。</w:t>
      </w:r>
    </w:p>
    <w:p w14:paraId="4F30EB3E">
      <w:pPr>
        <w:ind w:firstLine="640" w:firstLineChars="200"/>
        <w:jc w:val="left"/>
        <w:rPr>
          <w:rFonts w:ascii="仿宋_GB2312" w:eastAsia="仿宋_GB2312"/>
          <w:sz w:val="32"/>
          <w:szCs w:val="32"/>
        </w:rPr>
      </w:pPr>
      <w:r>
        <w:rPr>
          <w:rFonts w:hint="eastAsia" w:ascii="仿宋_GB2312" w:eastAsia="仿宋_GB2312"/>
          <w:sz w:val="32"/>
          <w:szCs w:val="32"/>
        </w:rPr>
        <w:t>17.社会保障和就业支出（类）其他社会保障和就业支出（款）其他社会保障和就业支出（项）:支出决算数为0.00万元，比上年决算减少5.00万元，下降100%，主要原因是：单位本年减少生活困难军转干生活补助慰问金。</w:t>
      </w:r>
    </w:p>
    <w:p w14:paraId="22BD7B92">
      <w:pPr>
        <w:ind w:firstLine="640" w:firstLineChars="200"/>
        <w:jc w:val="left"/>
        <w:rPr>
          <w:rFonts w:ascii="仿宋_GB2312" w:eastAsia="仿宋_GB2312"/>
          <w:sz w:val="32"/>
          <w:szCs w:val="32"/>
        </w:rPr>
      </w:pPr>
      <w:r>
        <w:rPr>
          <w:rFonts w:hint="eastAsia" w:ascii="仿宋_GB2312" w:eastAsia="仿宋_GB2312"/>
          <w:sz w:val="32"/>
          <w:szCs w:val="32"/>
        </w:rPr>
        <w:t>18.卫生健康支出（类）优抚对象医疗（款）优抚对象医疗补助（项）:支出决算数为0.00万元，比上年决算减少4.30万元</w:t>
      </w:r>
      <w:bookmarkStart w:id="48" w:name="_GoBack"/>
      <w:bookmarkEnd w:id="48"/>
      <w:r>
        <w:rPr>
          <w:rFonts w:hint="eastAsia" w:ascii="仿宋_GB2312" w:eastAsia="仿宋_GB2312"/>
          <w:sz w:val="32"/>
          <w:szCs w:val="32"/>
        </w:rPr>
        <w:t>，下降100%，主要原因是：单位本年减少重点优抚对象医疗费资金。</w:t>
      </w:r>
    </w:p>
    <w:p w14:paraId="5A3A65E8">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六、一般公共预算财政拨款基本支出决算情况说明</w:t>
      </w:r>
    </w:p>
    <w:p w14:paraId="0D645545">
      <w:pPr>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基本支出134.60万元，其中：人员经费125.53万元，包括：基本工资、津贴补贴、奖金、机关事业单位基本养老保险缴费、职工基本医疗保险缴费、公务员医疗补助缴费、其他社会保障缴费、住房公积金、其他工资福利支出、生活补助。</w:t>
      </w:r>
    </w:p>
    <w:p w14:paraId="5D27DF54">
      <w:pPr>
        <w:ind w:firstLine="640" w:firstLineChars="200"/>
        <w:jc w:val="left"/>
        <w:rPr>
          <w:rFonts w:hint="eastAsia" w:ascii="仿宋_GB2312" w:hAnsi="宋体" w:eastAsia="仿宋_GB2312" w:cs="宋体"/>
          <w:kern w:val="0"/>
          <w:sz w:val="32"/>
          <w:szCs w:val="32"/>
        </w:rPr>
      </w:pPr>
      <w:r>
        <w:rPr>
          <w:rFonts w:hint="eastAsia" w:ascii="仿宋_GB2312" w:eastAsia="仿宋_GB2312"/>
          <w:sz w:val="32"/>
          <w:szCs w:val="32"/>
        </w:rPr>
        <w:t>公用经费9.07万元，包括：办公费、取暖费。</w:t>
      </w:r>
    </w:p>
    <w:p w14:paraId="2FF1AFD5">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七、财政拨款“三公”经费支出决算情况说明</w:t>
      </w:r>
    </w:p>
    <w:p w14:paraId="65F35C43">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2023年度</w:t>
      </w:r>
      <w:r>
        <w:rPr>
          <w:rFonts w:hint="eastAsia" w:ascii="仿宋_GB2312" w:eastAsia="仿宋_GB2312"/>
          <w:sz w:val="32"/>
          <w:szCs w:val="32"/>
        </w:rPr>
        <w:t>财政拨款</w:t>
      </w:r>
      <w:r>
        <w:rPr>
          <w:rFonts w:hint="eastAsia" w:ascii="仿宋_GB2312" w:eastAsia="仿宋_GB2312"/>
          <w:sz w:val="32"/>
          <w:szCs w:val="32"/>
          <w:lang w:val="zh-CN"/>
        </w:rPr>
        <w:t>“三公”经费支出0.00万元，</w:t>
      </w:r>
      <w:r>
        <w:rPr>
          <w:rFonts w:hint="eastAsia" w:ascii="仿宋_GB2312" w:eastAsia="仿宋_GB2312"/>
          <w:sz w:val="32"/>
          <w:szCs w:val="32"/>
        </w:rPr>
        <w:t>比上年</w:t>
      </w:r>
      <w:r>
        <w:rPr>
          <w:rFonts w:hint="eastAsia" w:ascii="仿宋_GB2312" w:eastAsia="仿宋_GB2312"/>
          <w:sz w:val="32"/>
          <w:szCs w:val="32"/>
          <w:lang w:val="zh-CN"/>
        </w:rPr>
        <w:t>减少0.30万元，</w:t>
      </w:r>
      <w:r>
        <w:rPr>
          <w:rFonts w:hint="eastAsia" w:ascii="仿宋_GB2312" w:eastAsia="仿宋_GB2312"/>
          <w:sz w:val="32"/>
          <w:szCs w:val="32"/>
        </w:rPr>
        <w:t>下降100.00%,</w:t>
      </w:r>
      <w:r>
        <w:rPr>
          <w:rFonts w:hint="eastAsia" w:ascii="仿宋_GB2312" w:eastAsia="仿宋_GB2312"/>
          <w:sz w:val="32"/>
          <w:szCs w:val="32"/>
          <w:lang w:val="zh-CN"/>
        </w:rPr>
        <w:t>主要原因是：</w:t>
      </w:r>
      <w:r>
        <w:rPr>
          <w:rFonts w:hint="eastAsia" w:ascii="仿宋_GB2312" w:eastAsia="仿宋_GB2312"/>
          <w:sz w:val="32"/>
          <w:szCs w:val="32"/>
        </w:rPr>
        <w:t>单位本年无此项经费</w:t>
      </w:r>
      <w:r>
        <w:rPr>
          <w:rFonts w:hint="eastAsia" w:ascii="仿宋_GB2312" w:eastAsia="仿宋_GB2312"/>
          <w:sz w:val="32"/>
          <w:szCs w:val="32"/>
          <w:lang w:val="zh-CN"/>
        </w:rPr>
        <w:t>。其中：因公出国（境）费支出0.00万元，占0.00%，比上年增加0.00万元，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主要原因是：本年单位无此项支出；公务用车购置及运行维护费支出0.00万元，占0.00%，比上年减少0.30万元，</w:t>
      </w:r>
      <w:r>
        <w:rPr>
          <w:rFonts w:hint="eastAsia" w:ascii="仿宋_GB2312" w:eastAsia="仿宋_GB2312"/>
          <w:sz w:val="32"/>
          <w:szCs w:val="32"/>
        </w:rPr>
        <w:t>下降100.00%,</w:t>
      </w:r>
      <w:r>
        <w:rPr>
          <w:rFonts w:hint="eastAsia" w:ascii="仿宋_GB2312" w:eastAsia="仿宋_GB2312"/>
          <w:sz w:val="32"/>
          <w:szCs w:val="32"/>
          <w:lang w:val="zh-CN"/>
        </w:rPr>
        <w:t>主要原因是：</w:t>
      </w:r>
      <w:r>
        <w:rPr>
          <w:rFonts w:hint="eastAsia" w:ascii="仿宋_GB2312" w:eastAsia="仿宋_GB2312"/>
          <w:sz w:val="32"/>
          <w:szCs w:val="32"/>
        </w:rPr>
        <w:t>单位本年无此项经费</w:t>
      </w:r>
      <w:r>
        <w:rPr>
          <w:rFonts w:hint="eastAsia" w:ascii="仿宋_GB2312" w:eastAsia="仿宋_GB2312"/>
          <w:sz w:val="32"/>
          <w:szCs w:val="32"/>
          <w:lang w:val="zh-CN"/>
        </w:rPr>
        <w:t>；公务接待费支出0.00万元，占0.00%，比上年增加0.00万元，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主要原因是：本年单位无此项支出。</w:t>
      </w:r>
    </w:p>
    <w:p w14:paraId="44276708">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具体情况如下：</w:t>
      </w:r>
    </w:p>
    <w:p w14:paraId="36A87EF0">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因公出国（境）费支出0.00万元，开支内容包括本年单位无此项支出。单位全年安排的因公出国（境）团组0个，因公出国（境）0人次。</w:t>
      </w:r>
    </w:p>
    <w:p w14:paraId="791A9FA4">
      <w:pPr>
        <w:ind w:firstLine="640" w:firstLineChars="200"/>
        <w:jc w:val="left"/>
        <w:rPr>
          <w:rFonts w:ascii="仿宋_GB2312" w:eastAsia="仿宋_GB2312"/>
          <w:sz w:val="32"/>
          <w:szCs w:val="32"/>
        </w:rPr>
      </w:pPr>
      <w:r>
        <w:rPr>
          <w:rFonts w:hint="eastAsia" w:ascii="仿宋_GB2312" w:eastAsia="仿宋_GB2312"/>
          <w:sz w:val="32"/>
          <w:szCs w:val="32"/>
          <w:lang w:val="zh-CN"/>
        </w:rPr>
        <w:t>公务用车购置及运行维护费0.00万元，其中：公务用车购置费0.00万元，公务用车运行维护费0.00万元。公务用车运行维护费开支内容包括本年单位无此项支出。公务用车购置数0辆，公务用车保有量0辆。国有资产占用情况</w:t>
      </w:r>
      <w:r>
        <w:rPr>
          <w:rFonts w:hint="eastAsia" w:ascii="仿宋_GB2312" w:eastAsia="仿宋_GB2312"/>
          <w:sz w:val="32"/>
          <w:szCs w:val="32"/>
        </w:rPr>
        <w:t>中固定资产车辆</w:t>
      </w:r>
      <w:r>
        <w:rPr>
          <w:rFonts w:hint="eastAsia" w:ascii="仿宋_GB2312" w:eastAsia="仿宋_GB2312"/>
          <w:sz w:val="32"/>
          <w:szCs w:val="32"/>
          <w:lang w:val="zh-CN"/>
        </w:rPr>
        <w:t>1辆，</w:t>
      </w:r>
      <w:r>
        <w:rPr>
          <w:rFonts w:hint="eastAsia" w:ascii="仿宋_GB2312" w:eastAsia="仿宋_GB2312"/>
          <w:sz w:val="32"/>
          <w:szCs w:val="32"/>
        </w:rPr>
        <w:t>与</w:t>
      </w:r>
      <w:r>
        <w:rPr>
          <w:rFonts w:hint="eastAsia" w:ascii="仿宋_GB2312" w:eastAsia="仿宋_GB2312"/>
          <w:sz w:val="32"/>
          <w:szCs w:val="32"/>
          <w:lang w:val="zh-CN"/>
        </w:rPr>
        <w:t>公务用车</w:t>
      </w:r>
      <w:r>
        <w:rPr>
          <w:rFonts w:hint="eastAsia" w:ascii="仿宋_GB2312" w:eastAsia="仿宋_GB2312"/>
          <w:sz w:val="32"/>
          <w:szCs w:val="32"/>
        </w:rPr>
        <w:t>保有量差异</w:t>
      </w:r>
      <w:r>
        <w:rPr>
          <w:rFonts w:hint="eastAsia" w:ascii="仿宋_GB2312" w:eastAsia="仿宋_GB2312"/>
          <w:sz w:val="32"/>
          <w:szCs w:val="32"/>
          <w:lang w:val="zh-CN"/>
        </w:rPr>
        <w:t>原因是：差异车辆为一般业务用车1辆，车辆费用未使用财政拨款公务用车运行维护费支付。</w:t>
      </w:r>
    </w:p>
    <w:p w14:paraId="0D6B4A59">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公务接待费0.00万元，开支内容包括本年单位无此项支出。单位全年安排的国内公务接待0批次，0人次。</w:t>
      </w:r>
    </w:p>
    <w:p w14:paraId="680FDDDE">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与</w:t>
      </w:r>
      <w:r>
        <w:rPr>
          <w:rFonts w:hint="eastAsia" w:ascii="仿宋_GB2312" w:eastAsia="仿宋_GB2312"/>
          <w:sz w:val="32"/>
          <w:szCs w:val="32"/>
        </w:rPr>
        <w:t>全年</w:t>
      </w:r>
      <w:r>
        <w:rPr>
          <w:rFonts w:hint="eastAsia" w:ascii="仿宋_GB2312" w:eastAsia="仿宋_GB2312"/>
          <w:sz w:val="32"/>
          <w:szCs w:val="32"/>
          <w:lang w:val="zh-CN"/>
        </w:rPr>
        <w:t>预算相比</w:t>
      </w:r>
      <w:r>
        <w:rPr>
          <w:rFonts w:hint="eastAsia" w:ascii="仿宋_GB2312" w:eastAsia="仿宋_GB2312"/>
          <w:sz w:val="32"/>
          <w:szCs w:val="32"/>
        </w:rPr>
        <w:t>,</w:t>
      </w:r>
      <w:r>
        <w:rPr>
          <w:rFonts w:hint="eastAsia" w:ascii="仿宋_GB2312" w:eastAsia="仿宋_GB2312"/>
          <w:sz w:val="32"/>
          <w:szCs w:val="32"/>
          <w:lang w:val="zh-CN"/>
        </w:rPr>
        <w:t>财政拨款“三公”经费支出</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预算数0.00万元，决算数0.00万元，预决算差异率0.00%，主要原因是：本年单位无此项支出。其中：因公出国（境）费</w:t>
      </w:r>
      <w:r>
        <w:rPr>
          <w:rFonts w:hint="eastAsia" w:ascii="仿宋_GB2312" w:eastAsia="仿宋_GB2312"/>
          <w:sz w:val="32"/>
          <w:szCs w:val="32"/>
        </w:rPr>
        <w:t>全年预算数</w:t>
      </w:r>
      <w:r>
        <w:rPr>
          <w:rFonts w:hint="eastAsia" w:ascii="仿宋_GB2312" w:eastAsia="仿宋_GB2312"/>
          <w:sz w:val="32"/>
          <w:szCs w:val="32"/>
          <w:lang w:val="zh-CN"/>
        </w:rPr>
        <w:t>0.00万元，决算数0.00万元，预决算差异率0.00%，主要原因是：本年单位无此项支出；公务用车购置费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预算数0.00万元，决算数0.00万元，预决算差异率0.00%，主要原因是：本年单位无此项支出；公务用车运行费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预算数0.00万元，决算数0.00万元，预决算差异率0.00%，主要原因是：本年单位无此项支出；公务接待费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预算数0.00万元，决算数0.00万元，预决算差异率0.00%，主要原因是：本年单位无此项支出。</w:t>
      </w:r>
    </w:p>
    <w:p w14:paraId="43BF8DED">
      <w:pPr>
        <w:ind w:firstLine="640" w:firstLineChars="200"/>
        <w:jc w:val="left"/>
        <w:outlineLvl w:val="1"/>
        <w:rPr>
          <w:rFonts w:hint="eastAsia" w:ascii="黑体" w:hAnsi="黑体" w:eastAsia="黑体" w:cs="宋体"/>
          <w:bCs/>
          <w:kern w:val="0"/>
          <w:sz w:val="32"/>
          <w:szCs w:val="32"/>
        </w:rPr>
      </w:pPr>
      <w:bookmarkStart w:id="18" w:name="_Toc7927"/>
      <w:bookmarkStart w:id="19" w:name="_Toc5810"/>
      <w:r>
        <w:rPr>
          <w:rFonts w:hint="eastAsia" w:ascii="黑体" w:hAnsi="黑体" w:eastAsia="黑体" w:cs="宋体"/>
          <w:bCs/>
          <w:kern w:val="0"/>
          <w:sz w:val="32"/>
          <w:szCs w:val="32"/>
        </w:rPr>
        <w:t>八、政府性基金预算财政拨款收入支出决算情况说明</w:t>
      </w:r>
      <w:bookmarkEnd w:id="18"/>
      <w:bookmarkEnd w:id="19"/>
    </w:p>
    <w:p w14:paraId="78E148ED">
      <w:pPr>
        <w:ind w:firstLine="640" w:firstLineChars="200"/>
        <w:jc w:val="left"/>
        <w:rPr>
          <w:rFonts w:ascii="仿宋_GB2312" w:eastAsia="仿宋_GB2312"/>
          <w:sz w:val="32"/>
          <w:szCs w:val="32"/>
        </w:rPr>
      </w:pPr>
      <w:r>
        <w:rPr>
          <w:rFonts w:hint="eastAsia" w:ascii="仿宋_GB2312" w:eastAsia="仿宋_GB2312"/>
          <w:sz w:val="32"/>
          <w:szCs w:val="32"/>
        </w:rPr>
        <w:t>我单位本年度无政府性基金预算财政拨款收入、支出及结转和结余，政府性基金预算财政拨款收入支出决算表为空表。</w:t>
      </w:r>
    </w:p>
    <w:p w14:paraId="0246F7E6">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九、国有资本经营预算财政拨款收入支出决算情况说明</w:t>
      </w:r>
    </w:p>
    <w:p w14:paraId="73F8C351">
      <w:pPr>
        <w:ind w:firstLine="640" w:firstLineChars="200"/>
        <w:jc w:val="left"/>
        <w:rPr>
          <w:rFonts w:ascii="仿宋_GB2312" w:eastAsia="仿宋_GB2312"/>
          <w:sz w:val="32"/>
          <w:szCs w:val="32"/>
        </w:rPr>
      </w:pPr>
      <w:r>
        <w:rPr>
          <w:rFonts w:hint="eastAsia" w:ascii="仿宋_GB2312" w:eastAsia="仿宋_GB2312"/>
          <w:sz w:val="32"/>
          <w:szCs w:val="32"/>
        </w:rPr>
        <w:t>我单位本年度无国有资本经营预算财政拨款收入、支出及结转和结余，国有资本经营预算财政拨款收入支出决算表为空表。</w:t>
      </w:r>
    </w:p>
    <w:p w14:paraId="58028F8A">
      <w:pPr>
        <w:ind w:firstLine="640" w:firstLineChars="200"/>
        <w:jc w:val="left"/>
        <w:outlineLvl w:val="1"/>
        <w:rPr>
          <w:rFonts w:hint="eastAsia" w:ascii="黑体" w:hAnsi="黑体" w:eastAsia="黑体" w:cs="宋体"/>
          <w:bCs/>
          <w:kern w:val="0"/>
          <w:sz w:val="32"/>
          <w:szCs w:val="32"/>
        </w:rPr>
      </w:pPr>
      <w:bookmarkStart w:id="20" w:name="_Toc1235"/>
      <w:bookmarkStart w:id="21" w:name="_Toc7314"/>
      <w:r>
        <w:rPr>
          <w:rFonts w:hint="eastAsia" w:ascii="黑体" w:hAnsi="黑体" w:eastAsia="黑体" w:cs="宋体"/>
          <w:bCs/>
          <w:kern w:val="0"/>
          <w:sz w:val="32"/>
          <w:szCs w:val="32"/>
        </w:rPr>
        <w:t>十、其他重要事项的情况说明</w:t>
      </w:r>
      <w:bookmarkEnd w:id="20"/>
      <w:bookmarkEnd w:id="21"/>
    </w:p>
    <w:p w14:paraId="75498E13">
      <w:pPr>
        <w:ind w:firstLine="640" w:firstLineChars="200"/>
        <w:jc w:val="left"/>
        <w:outlineLvl w:val="2"/>
        <w:rPr>
          <w:rFonts w:hint="eastAsia" w:ascii="黑体" w:hAnsi="黑体" w:eastAsia="黑体"/>
          <w:sz w:val="32"/>
          <w:szCs w:val="32"/>
        </w:rPr>
      </w:pPr>
      <w:bookmarkStart w:id="22" w:name="_Toc14519"/>
      <w:bookmarkStart w:id="23" w:name="_Toc13105"/>
      <w:r>
        <w:rPr>
          <w:rFonts w:hint="eastAsia" w:ascii="黑体" w:hAnsi="黑体" w:eastAsia="黑体"/>
          <w:sz w:val="32"/>
          <w:szCs w:val="32"/>
        </w:rPr>
        <w:t>（一）机关运行经费支出情况</w:t>
      </w:r>
      <w:bookmarkEnd w:id="22"/>
      <w:bookmarkEnd w:id="23"/>
    </w:p>
    <w:p w14:paraId="21DC7327">
      <w:pPr>
        <w:ind w:firstLine="640" w:firstLineChars="200"/>
        <w:jc w:val="left"/>
        <w:rPr>
          <w:rFonts w:ascii="仿宋_GB2312" w:eastAsia="仿宋_GB2312"/>
          <w:sz w:val="32"/>
          <w:szCs w:val="32"/>
        </w:rPr>
      </w:pPr>
      <w:bookmarkStart w:id="24" w:name="_Toc227"/>
      <w:bookmarkStart w:id="25" w:name="_Toc26704"/>
      <w:r>
        <w:rPr>
          <w:rFonts w:hint="eastAsia" w:ascii="仿宋_GB2312" w:eastAsia="仿宋_GB2312"/>
          <w:sz w:val="32"/>
          <w:szCs w:val="32"/>
        </w:rPr>
        <w:t>2023年度木垒哈萨克自治县退役军人事务局（行政单位和参照公务员法管理事业单位）机关运行经费支出9.07万元，比上年增加7.56万元，增长500.66%，主要原因是：单位本年办公费、取暖费增加。</w:t>
      </w:r>
    </w:p>
    <w:p w14:paraId="213A6993">
      <w:pPr>
        <w:ind w:firstLine="640" w:firstLineChars="200"/>
        <w:jc w:val="left"/>
        <w:rPr>
          <w:rFonts w:eastAsia="黑体"/>
          <w:sz w:val="32"/>
          <w:szCs w:val="30"/>
          <w:lang w:val="zh-CN"/>
        </w:rPr>
      </w:pPr>
      <w:r>
        <w:rPr>
          <w:rFonts w:hint="eastAsia" w:eastAsia="黑体"/>
          <w:sz w:val="32"/>
          <w:szCs w:val="30"/>
          <w:lang w:val="zh-CN"/>
        </w:rPr>
        <w:t>（二）政府采购情况</w:t>
      </w:r>
      <w:bookmarkEnd w:id="24"/>
      <w:bookmarkEnd w:id="25"/>
    </w:p>
    <w:p w14:paraId="58F0EE0A">
      <w:pPr>
        <w:ind w:firstLine="640" w:firstLineChars="200"/>
        <w:jc w:val="left"/>
        <w:rPr>
          <w:rFonts w:ascii="仿宋_GB2312" w:eastAsia="仿宋_GB2312"/>
          <w:sz w:val="32"/>
          <w:szCs w:val="32"/>
        </w:rPr>
      </w:pPr>
      <w:r>
        <w:rPr>
          <w:rFonts w:hint="eastAsia" w:ascii="仿宋_GB2312" w:eastAsia="仿宋_GB2312"/>
          <w:sz w:val="32"/>
          <w:szCs w:val="32"/>
        </w:rPr>
        <w:t>2023年度政府采购支出总额26.59万元，其中：政府采购货物支出5.64万元、政府采购工程支出2.25万元、政府采购服务支出18.70万元。</w:t>
      </w:r>
    </w:p>
    <w:p w14:paraId="2DE8D3F8">
      <w:pPr>
        <w:ind w:firstLine="640" w:firstLineChars="200"/>
        <w:jc w:val="left"/>
        <w:rPr>
          <w:rFonts w:ascii="仿宋_GB2312" w:eastAsia="仿宋_GB2312"/>
          <w:sz w:val="32"/>
          <w:szCs w:val="32"/>
        </w:rPr>
      </w:pPr>
      <w:r>
        <w:rPr>
          <w:rFonts w:hint="eastAsia" w:ascii="仿宋_GB2312" w:eastAsia="仿宋_GB2312"/>
          <w:sz w:val="32"/>
          <w:szCs w:val="32"/>
        </w:rPr>
        <w:t>授予中小企业合同金额26.59万元，占政府采购支出总额的100.00</w:t>
      </w:r>
      <w:r>
        <w:rPr>
          <w:rFonts w:ascii="仿宋_GB2312" w:eastAsia="仿宋_GB2312"/>
          <w:sz w:val="32"/>
          <w:szCs w:val="32"/>
        </w:rPr>
        <w:t>%</w:t>
      </w:r>
      <w:r>
        <w:rPr>
          <w:rFonts w:hint="eastAsia" w:ascii="仿宋_GB2312" w:eastAsia="仿宋_GB2312"/>
          <w:sz w:val="32"/>
          <w:szCs w:val="32"/>
        </w:rPr>
        <w:t>，其中：授予小微企业合同金额26.59万元，占政府采购支出总额的100.00</w:t>
      </w:r>
      <w:r>
        <w:rPr>
          <w:rFonts w:ascii="仿宋_GB2312" w:eastAsia="仿宋_GB2312"/>
          <w:sz w:val="32"/>
          <w:szCs w:val="32"/>
        </w:rPr>
        <w:t>%</w:t>
      </w:r>
      <w:r>
        <w:rPr>
          <w:rFonts w:hint="eastAsia" w:ascii="仿宋_GB2312" w:eastAsia="仿宋_GB2312"/>
          <w:sz w:val="32"/>
          <w:szCs w:val="32"/>
        </w:rPr>
        <w:t>。</w:t>
      </w:r>
    </w:p>
    <w:p w14:paraId="58189EDE">
      <w:pPr>
        <w:ind w:firstLine="640" w:firstLineChars="200"/>
        <w:jc w:val="left"/>
        <w:rPr>
          <w:rFonts w:eastAsia="黑体"/>
          <w:sz w:val="32"/>
          <w:szCs w:val="30"/>
          <w:lang w:val="zh-CN"/>
        </w:rPr>
      </w:pPr>
      <w:bookmarkStart w:id="26" w:name="_Toc8391"/>
      <w:bookmarkStart w:id="27" w:name="_Toc4591"/>
      <w:r>
        <w:rPr>
          <w:rFonts w:hint="eastAsia" w:eastAsia="黑体"/>
          <w:sz w:val="32"/>
          <w:szCs w:val="30"/>
          <w:lang w:val="zh-CN"/>
        </w:rPr>
        <w:t>（三）国有资产占用情况说明</w:t>
      </w:r>
      <w:bookmarkEnd w:id="26"/>
      <w:bookmarkEnd w:id="27"/>
    </w:p>
    <w:p w14:paraId="43939951">
      <w:pPr>
        <w:ind w:firstLine="640" w:firstLineChars="200"/>
        <w:jc w:val="left"/>
        <w:rPr>
          <w:rFonts w:ascii="仿宋_GB2312" w:eastAsia="仿宋_GB2312"/>
          <w:sz w:val="32"/>
          <w:szCs w:val="32"/>
        </w:rPr>
      </w:pPr>
      <w:r>
        <w:rPr>
          <w:rFonts w:hint="eastAsia" w:ascii="仿宋_GB2312" w:eastAsia="仿宋_GB2312"/>
          <w:sz w:val="32"/>
          <w:szCs w:val="32"/>
        </w:rPr>
        <w:t>截至2023年12月31日，固定资产原值36.88万元，房屋0.00方米，价值0.00万元。车辆1辆，价值6.90万元，其中：副部（省）级及以上领导用车0辆、主要负责人用车0辆、机要通信用车0辆、应急保障用车0辆、执法执勤用车0辆、特种专业技术用车0辆、离退休干部服务用车0辆、其他用车1辆，其他用车主要是：单位业务用车；单价100万元（含）以上设备（不含车辆）0台（套）。</w:t>
      </w:r>
    </w:p>
    <w:p w14:paraId="106D9D22">
      <w:pPr>
        <w:ind w:firstLine="640" w:firstLineChars="200"/>
        <w:jc w:val="left"/>
        <w:outlineLvl w:val="1"/>
        <w:rPr>
          <w:rFonts w:hint="eastAsia" w:ascii="黑体" w:hAnsi="黑体" w:eastAsia="黑体" w:cs="宋体"/>
          <w:bCs/>
          <w:kern w:val="0"/>
          <w:sz w:val="32"/>
          <w:szCs w:val="32"/>
        </w:rPr>
      </w:pPr>
      <w:bookmarkStart w:id="28" w:name="_Toc435"/>
      <w:bookmarkStart w:id="29" w:name="_Toc11283"/>
      <w:r>
        <w:rPr>
          <w:rFonts w:hint="eastAsia" w:ascii="黑体" w:hAnsi="黑体" w:eastAsia="黑体" w:cs="宋体"/>
          <w:bCs/>
          <w:kern w:val="0"/>
          <w:sz w:val="32"/>
          <w:szCs w:val="32"/>
        </w:rPr>
        <w:t>十一、预算绩效的情况说明</w:t>
      </w:r>
      <w:bookmarkEnd w:id="28"/>
      <w:bookmarkEnd w:id="29"/>
    </w:p>
    <w:p w14:paraId="5831D99F">
      <w:pPr>
        <w:ind w:firstLine="640" w:firstLineChars="200"/>
        <w:jc w:val="left"/>
        <w:rPr>
          <w:rFonts w:ascii="仿宋_GB2312" w:eastAsia="仿宋_GB2312"/>
          <w:sz w:val="32"/>
          <w:szCs w:val="32"/>
        </w:rPr>
      </w:pPr>
      <w:r>
        <w:rPr>
          <w:rFonts w:hint="eastAsia" w:ascii="仿宋_GB2312" w:eastAsia="仿宋_GB2312"/>
          <w:sz w:val="32"/>
          <w:szCs w:val="32"/>
        </w:rPr>
        <w:t>根据预算绩效管理要求，我单位2023年度</w:t>
      </w:r>
      <w:r>
        <w:rPr>
          <w:rFonts w:hint="eastAsia" w:ascii="仿宋_GB2312" w:hAnsi="仿宋_GB2312" w:eastAsia="仿宋_GB2312" w:cs="仿宋_GB2312"/>
          <w:kern w:val="0"/>
          <w:sz w:val="32"/>
          <w:szCs w:val="32"/>
        </w:rPr>
        <w:t>预算绩效管理整体支出绩效自评表</w:t>
      </w:r>
      <w:r>
        <w:rPr>
          <w:rFonts w:hint="eastAsia" w:ascii="仿宋_GB2312" w:eastAsia="仿宋_GB2312"/>
          <w:sz w:val="32"/>
          <w:szCs w:val="32"/>
        </w:rPr>
        <w:t>1</w:t>
      </w:r>
      <w:r>
        <w:rPr>
          <w:rFonts w:hint="eastAsia" w:ascii="仿宋_GB2312" w:hAnsi="仿宋_GB2312" w:eastAsia="仿宋_GB2312" w:cs="仿宋_GB2312"/>
          <w:kern w:val="0"/>
          <w:sz w:val="32"/>
          <w:szCs w:val="32"/>
        </w:rPr>
        <w:t>个，全年</w:t>
      </w:r>
      <w:r>
        <w:rPr>
          <w:rFonts w:hint="eastAsia" w:ascii="仿宋_GB2312" w:eastAsia="仿宋_GB2312"/>
          <w:sz w:val="32"/>
          <w:szCs w:val="32"/>
        </w:rPr>
        <w:t>预算总额</w:t>
      </w:r>
      <w:r>
        <w:rPr>
          <w:rFonts w:ascii="仿宋_GB2312" w:eastAsia="仿宋_GB2312"/>
          <w:sz w:val="32"/>
          <w:szCs w:val="32"/>
        </w:rPr>
        <w:t>1,392.79</w:t>
      </w:r>
      <w:r>
        <w:rPr>
          <w:rFonts w:hint="eastAsia" w:ascii="仿宋_GB2312" w:eastAsia="仿宋_GB2312"/>
          <w:sz w:val="32"/>
          <w:szCs w:val="32"/>
        </w:rPr>
        <w:t>万元，实际执行总额</w:t>
      </w:r>
      <w:r>
        <w:rPr>
          <w:rFonts w:ascii="仿宋_GB2312" w:eastAsia="仿宋_GB2312"/>
          <w:sz w:val="32"/>
          <w:szCs w:val="32"/>
        </w:rPr>
        <w:t>1,392.76</w:t>
      </w:r>
      <w:r>
        <w:rPr>
          <w:rFonts w:hint="eastAsia" w:ascii="仿宋_GB2312" w:eastAsia="仿宋_GB2312"/>
          <w:sz w:val="32"/>
          <w:szCs w:val="32"/>
        </w:rPr>
        <w:t>万元</w:t>
      </w:r>
      <w:r>
        <w:rPr>
          <w:rFonts w:hint="eastAsia" w:ascii="仿宋_GB2312" w:hAnsi="仿宋_GB2312" w:eastAsia="仿宋_GB2312" w:cs="仿宋_GB2312"/>
          <w:kern w:val="0"/>
          <w:sz w:val="32"/>
          <w:szCs w:val="32"/>
        </w:rPr>
        <w:t>；</w:t>
      </w:r>
      <w:r>
        <w:rPr>
          <w:rFonts w:hint="eastAsia" w:ascii="仿宋_GB2312" w:eastAsia="仿宋_GB2312"/>
          <w:sz w:val="32"/>
          <w:szCs w:val="32"/>
        </w:rPr>
        <w:t>预算绩效评价项目1个，全年预算数</w:t>
      </w:r>
      <w:r>
        <w:rPr>
          <w:rFonts w:ascii="仿宋_GB2312" w:eastAsia="仿宋_GB2312"/>
          <w:sz w:val="32"/>
          <w:szCs w:val="32"/>
        </w:rPr>
        <w:t>215.00</w:t>
      </w:r>
      <w:r>
        <w:rPr>
          <w:rFonts w:hint="eastAsia" w:ascii="仿宋_GB2312" w:eastAsia="仿宋_GB2312"/>
          <w:sz w:val="32"/>
          <w:szCs w:val="32"/>
        </w:rPr>
        <w:t>万元，全年执行数</w:t>
      </w:r>
      <w:r>
        <w:rPr>
          <w:rFonts w:ascii="仿宋_GB2312" w:eastAsia="仿宋_GB2312"/>
          <w:sz w:val="32"/>
          <w:szCs w:val="32"/>
        </w:rPr>
        <w:t>248.14</w:t>
      </w:r>
      <w:r>
        <w:rPr>
          <w:rFonts w:hint="eastAsia" w:ascii="仿宋_GB2312" w:eastAsia="仿宋_GB2312"/>
          <w:sz w:val="32"/>
          <w:szCs w:val="32"/>
        </w:rPr>
        <w:t>万元。预算绩效管理取得的成效：一是</w:t>
      </w:r>
      <w:r>
        <w:rPr>
          <w:rFonts w:hint="eastAsia" w:ascii="仿宋_GB2312" w:hAnsi="宋体" w:eastAsia="仿宋_GB2312"/>
          <w:bCs/>
          <w:sz w:val="32"/>
          <w:szCs w:val="32"/>
        </w:rPr>
        <w:t>2023年度我单位努力做好财政预算收入、支出以及各项目的管理工作，将预算及时公开到相关的信息网络平台，并在执行过程中积极对执行情况进行监控，对预算的资金进行全方位的监督和管理，使每一笔资金都能起到最大的使用效益</w:t>
      </w:r>
      <w:r>
        <w:rPr>
          <w:rFonts w:hint="eastAsia" w:ascii="仿宋_GB2312" w:eastAsia="仿宋_GB2312"/>
          <w:sz w:val="32"/>
          <w:szCs w:val="32"/>
        </w:rPr>
        <w:t>；二是</w:t>
      </w:r>
      <w:r>
        <w:rPr>
          <w:rFonts w:hint="eastAsia" w:ascii="仿宋_GB2312" w:hAnsi="宋体" w:eastAsia="仿宋_GB2312"/>
          <w:bCs/>
          <w:sz w:val="32"/>
          <w:szCs w:val="32"/>
        </w:rPr>
        <w:t>结合我单位实际情合理分配资金，以达到合理高效地运用资金、提升资金的产出效果、节约成本与资源、提高部门的办事效率的目的</w:t>
      </w:r>
      <w:r>
        <w:rPr>
          <w:rFonts w:hint="eastAsia" w:ascii="仿宋_GB2312" w:eastAsia="仿宋_GB2312"/>
          <w:sz w:val="32"/>
          <w:szCs w:val="32"/>
        </w:rPr>
        <w:t>。发现的问题及原因：一是</w:t>
      </w:r>
      <w:r>
        <w:rPr>
          <w:rFonts w:hint="eastAsia" w:ascii="仿宋_GB2312" w:hAnsi="宋体" w:eastAsia="仿宋_GB2312"/>
          <w:bCs/>
          <w:sz w:val="32"/>
          <w:szCs w:val="32"/>
        </w:rPr>
        <w:t>在预算执行和绩效目标编制上依然有欠缺，绩效目标设立不够明确、细化和量化，对绩效分析也不够透彻</w:t>
      </w:r>
      <w:r>
        <w:rPr>
          <w:rFonts w:hint="eastAsia" w:ascii="仿宋_GB2312" w:eastAsia="仿宋_GB2312"/>
          <w:sz w:val="32"/>
          <w:szCs w:val="32"/>
        </w:rPr>
        <w:t>；二是</w:t>
      </w:r>
      <w:r>
        <w:rPr>
          <w:rFonts w:hint="eastAsia" w:ascii="仿宋_GB2312" w:hAnsi="宋体" w:eastAsia="仿宋_GB2312"/>
          <w:bCs/>
          <w:sz w:val="32"/>
          <w:szCs w:val="32"/>
        </w:rPr>
        <w:t>对预算执行和绩效监控重视力度不够</w:t>
      </w:r>
      <w:r>
        <w:rPr>
          <w:rFonts w:hint="eastAsia" w:ascii="仿宋_GB2312" w:eastAsia="仿宋_GB2312"/>
          <w:sz w:val="32"/>
          <w:szCs w:val="32"/>
        </w:rPr>
        <w:t>。下一步改进措施：一是</w:t>
      </w:r>
      <w:r>
        <w:rPr>
          <w:rFonts w:hint="eastAsia" w:ascii="仿宋_GB2312" w:hAnsi="宋体" w:eastAsia="仿宋_GB2312"/>
          <w:bCs/>
          <w:sz w:val="32"/>
          <w:szCs w:val="32"/>
        </w:rPr>
        <w:t>在资金申请工作中要积极主动联系财政部门确保资金及时落实到位，进一步按照国家有关财务规章制度规定加强资金使用管理，确保资金用到实处，工作有序的开展，加强自身建设，提高服务能力。通过分析评价，发现问题及时督促整改</w:t>
      </w:r>
      <w:r>
        <w:rPr>
          <w:rFonts w:hint="eastAsia" w:ascii="仿宋_GB2312" w:eastAsia="仿宋_GB2312"/>
          <w:sz w:val="32"/>
          <w:szCs w:val="32"/>
        </w:rPr>
        <w:t>；二是</w:t>
      </w:r>
      <w:r>
        <w:rPr>
          <w:rFonts w:hint="eastAsia" w:ascii="仿宋_GB2312" w:hAnsi="宋体" w:eastAsia="仿宋_GB2312"/>
          <w:bCs/>
          <w:sz w:val="32"/>
          <w:szCs w:val="32"/>
        </w:rPr>
        <w:t>大力强化宣传，加强政策学习，提高思想认识，提高预算执行和绩效监控认同感，首先要从部门实际入手，进行深刻剖析，分析预算执行和实施绩效监控的重要性和意义，努力提高自身的业务水平</w:t>
      </w:r>
      <w:r>
        <w:rPr>
          <w:rFonts w:hint="eastAsia" w:ascii="仿宋_GB2312" w:eastAsia="仿宋_GB2312"/>
          <w:sz w:val="32"/>
          <w:szCs w:val="32"/>
        </w:rPr>
        <w:t>。具体项目自评情况附绩效自评表及自评报告。</w:t>
      </w:r>
    </w:p>
    <w:tbl>
      <w:tblPr>
        <w:tblStyle w:val="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79"/>
        <w:gridCol w:w="1340"/>
        <w:gridCol w:w="1275"/>
        <w:gridCol w:w="1280"/>
        <w:gridCol w:w="1416"/>
        <w:gridCol w:w="850"/>
        <w:gridCol w:w="706"/>
        <w:gridCol w:w="476"/>
      </w:tblGrid>
      <w:tr w14:paraId="0DB1EC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trPr>
        <w:tc>
          <w:tcPr>
            <w:tcW w:w="5000" w:type="pct"/>
            <w:gridSpan w:val="8"/>
            <w:shd w:val="clear" w:color="auto" w:fill="auto"/>
            <w:noWrap/>
            <w:vAlign w:val="center"/>
          </w:tcPr>
          <w:p w14:paraId="6F1B845E">
            <w:pPr>
              <w:widowControl/>
              <w:jc w:val="center"/>
              <w:rPr>
                <w:rFonts w:hint="eastAsia" w:ascii="宋体" w:hAnsi="宋体" w:cs="宋体"/>
                <w:kern w:val="0"/>
                <w:sz w:val="20"/>
                <w:szCs w:val="20"/>
              </w:rPr>
            </w:pPr>
            <w:r>
              <w:rPr>
                <w:rFonts w:hint="eastAsia" w:ascii="宋体" w:hAnsi="宋体" w:cs="宋体"/>
                <w:kern w:val="0"/>
                <w:sz w:val="20"/>
                <w:szCs w:val="20"/>
              </w:rPr>
              <w:t>部门（单位）整体支出绩效目标自评表</w:t>
            </w:r>
          </w:p>
        </w:tc>
      </w:tr>
      <w:tr w14:paraId="6A906D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5000" w:type="pct"/>
            <w:gridSpan w:val="8"/>
            <w:shd w:val="clear" w:color="auto" w:fill="auto"/>
            <w:noWrap/>
            <w:vAlign w:val="center"/>
          </w:tcPr>
          <w:p w14:paraId="7DBD847B">
            <w:pPr>
              <w:widowControl/>
              <w:jc w:val="center"/>
              <w:rPr>
                <w:rFonts w:hint="eastAsia" w:ascii="宋体" w:hAnsi="宋体" w:cs="宋体"/>
                <w:kern w:val="0"/>
                <w:sz w:val="20"/>
                <w:szCs w:val="20"/>
              </w:rPr>
            </w:pPr>
            <w:r>
              <w:rPr>
                <w:rFonts w:hint="eastAsia" w:ascii="宋体" w:hAnsi="宋体" w:cs="宋体"/>
                <w:kern w:val="0"/>
                <w:sz w:val="20"/>
                <w:szCs w:val="20"/>
              </w:rPr>
              <w:t>（2023年度）</w:t>
            </w:r>
          </w:p>
        </w:tc>
      </w:tr>
      <w:tr w14:paraId="118722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692" w:type="pct"/>
            <w:shd w:val="clear" w:color="auto" w:fill="auto"/>
            <w:noWrap/>
            <w:vAlign w:val="center"/>
          </w:tcPr>
          <w:p w14:paraId="41C97DCB">
            <w:pPr>
              <w:widowControl/>
              <w:jc w:val="center"/>
              <w:rPr>
                <w:rFonts w:hint="eastAsia" w:ascii="宋体" w:hAnsi="宋体" w:cs="宋体"/>
                <w:kern w:val="0"/>
                <w:sz w:val="20"/>
                <w:szCs w:val="20"/>
              </w:rPr>
            </w:pPr>
            <w:r>
              <w:rPr>
                <w:rFonts w:hint="eastAsia" w:ascii="宋体" w:hAnsi="宋体" w:cs="宋体"/>
                <w:kern w:val="0"/>
                <w:sz w:val="20"/>
                <w:szCs w:val="20"/>
              </w:rPr>
              <w:t>部门（单位）名称</w:t>
            </w:r>
          </w:p>
        </w:tc>
        <w:tc>
          <w:tcPr>
            <w:tcW w:w="4308" w:type="pct"/>
            <w:gridSpan w:val="7"/>
            <w:shd w:val="clear" w:color="auto" w:fill="auto"/>
            <w:noWrap/>
            <w:vAlign w:val="center"/>
          </w:tcPr>
          <w:p w14:paraId="69EBAE35">
            <w:pPr>
              <w:widowControl/>
              <w:jc w:val="center"/>
              <w:rPr>
                <w:rFonts w:hint="eastAsia" w:ascii="宋体" w:hAnsi="宋体" w:cs="宋体"/>
                <w:kern w:val="0"/>
                <w:sz w:val="20"/>
                <w:szCs w:val="20"/>
              </w:rPr>
            </w:pPr>
            <w:r>
              <w:rPr>
                <w:rFonts w:hint="eastAsia" w:ascii="宋体" w:hAnsi="宋体" w:cs="宋体"/>
                <w:kern w:val="0"/>
                <w:sz w:val="20"/>
                <w:szCs w:val="20"/>
              </w:rPr>
              <w:t>木垒哈萨克自治县退伍军人事务局</w:t>
            </w:r>
          </w:p>
        </w:tc>
      </w:tr>
      <w:tr w14:paraId="2AB662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692" w:type="pct"/>
            <w:vMerge w:val="restart"/>
            <w:shd w:val="clear" w:color="auto" w:fill="auto"/>
            <w:vAlign w:val="center"/>
          </w:tcPr>
          <w:p w14:paraId="084F4D33">
            <w:pPr>
              <w:widowControl/>
              <w:jc w:val="center"/>
              <w:rPr>
                <w:rFonts w:hint="eastAsia" w:ascii="宋体" w:hAnsi="宋体" w:cs="宋体"/>
                <w:kern w:val="0"/>
                <w:sz w:val="20"/>
                <w:szCs w:val="20"/>
              </w:rPr>
            </w:pPr>
            <w:r>
              <w:rPr>
                <w:rFonts w:hint="eastAsia" w:ascii="宋体" w:hAnsi="宋体" w:cs="宋体"/>
                <w:kern w:val="0"/>
                <w:sz w:val="20"/>
                <w:szCs w:val="20"/>
              </w:rPr>
              <w:t>部门资金（万元）</w:t>
            </w:r>
          </w:p>
        </w:tc>
        <w:tc>
          <w:tcPr>
            <w:tcW w:w="786" w:type="pct"/>
            <w:shd w:val="clear" w:color="auto" w:fill="auto"/>
            <w:vAlign w:val="center"/>
          </w:tcPr>
          <w:p w14:paraId="65514384">
            <w:pPr>
              <w:widowControl/>
              <w:jc w:val="center"/>
              <w:rPr>
                <w:rFonts w:hint="eastAsia" w:ascii="宋体" w:hAnsi="宋体" w:cs="宋体"/>
                <w:kern w:val="0"/>
                <w:sz w:val="20"/>
                <w:szCs w:val="20"/>
              </w:rPr>
            </w:pPr>
            <w:r>
              <w:rPr>
                <w:rFonts w:hint="eastAsia" w:ascii="宋体" w:hAnsi="宋体" w:cs="宋体"/>
                <w:kern w:val="0"/>
                <w:sz w:val="20"/>
                <w:szCs w:val="20"/>
              </w:rPr>
              <w:t>资金来源</w:t>
            </w:r>
          </w:p>
        </w:tc>
        <w:tc>
          <w:tcPr>
            <w:tcW w:w="748" w:type="pct"/>
            <w:shd w:val="clear" w:color="auto" w:fill="auto"/>
            <w:vAlign w:val="center"/>
          </w:tcPr>
          <w:p w14:paraId="7997FC50">
            <w:pPr>
              <w:widowControl/>
              <w:jc w:val="center"/>
              <w:rPr>
                <w:rFonts w:hint="eastAsia" w:ascii="宋体" w:hAnsi="宋体" w:cs="宋体"/>
                <w:kern w:val="0"/>
                <w:sz w:val="20"/>
                <w:szCs w:val="20"/>
              </w:rPr>
            </w:pPr>
            <w:r>
              <w:rPr>
                <w:rFonts w:hint="eastAsia" w:ascii="宋体" w:hAnsi="宋体" w:cs="宋体"/>
                <w:kern w:val="0"/>
                <w:sz w:val="20"/>
                <w:szCs w:val="20"/>
              </w:rPr>
              <w:t>年初预算数</w:t>
            </w:r>
          </w:p>
        </w:tc>
        <w:tc>
          <w:tcPr>
            <w:tcW w:w="751" w:type="pct"/>
            <w:shd w:val="clear" w:color="auto" w:fill="auto"/>
            <w:vAlign w:val="center"/>
          </w:tcPr>
          <w:p w14:paraId="56B76F57">
            <w:pPr>
              <w:widowControl/>
              <w:jc w:val="center"/>
              <w:rPr>
                <w:rFonts w:hint="eastAsia" w:ascii="宋体" w:hAnsi="宋体" w:cs="宋体"/>
                <w:kern w:val="0"/>
                <w:sz w:val="20"/>
                <w:szCs w:val="20"/>
              </w:rPr>
            </w:pPr>
            <w:r>
              <w:rPr>
                <w:rFonts w:hint="eastAsia" w:ascii="宋体" w:hAnsi="宋体" w:cs="宋体"/>
                <w:kern w:val="0"/>
                <w:sz w:val="20"/>
                <w:szCs w:val="20"/>
              </w:rPr>
              <w:t>全年预算数</w:t>
            </w:r>
          </w:p>
        </w:tc>
        <w:tc>
          <w:tcPr>
            <w:tcW w:w="831" w:type="pct"/>
            <w:shd w:val="clear" w:color="auto" w:fill="auto"/>
            <w:vAlign w:val="center"/>
          </w:tcPr>
          <w:p w14:paraId="56373432">
            <w:pPr>
              <w:widowControl/>
              <w:jc w:val="center"/>
              <w:rPr>
                <w:rFonts w:hint="eastAsia" w:ascii="宋体" w:hAnsi="宋体" w:cs="宋体"/>
                <w:kern w:val="0"/>
                <w:sz w:val="20"/>
                <w:szCs w:val="20"/>
              </w:rPr>
            </w:pPr>
            <w:r>
              <w:rPr>
                <w:rFonts w:hint="eastAsia" w:ascii="宋体" w:hAnsi="宋体" w:cs="宋体"/>
                <w:kern w:val="0"/>
                <w:sz w:val="20"/>
                <w:szCs w:val="20"/>
              </w:rPr>
              <w:t>全年执行数</w:t>
            </w:r>
          </w:p>
        </w:tc>
        <w:tc>
          <w:tcPr>
            <w:tcW w:w="499" w:type="pct"/>
            <w:shd w:val="clear" w:color="auto" w:fill="auto"/>
            <w:vAlign w:val="center"/>
          </w:tcPr>
          <w:p w14:paraId="1EDA48F8">
            <w:pPr>
              <w:widowControl/>
              <w:jc w:val="center"/>
              <w:rPr>
                <w:rFonts w:hint="eastAsia" w:ascii="宋体" w:hAnsi="宋体" w:cs="宋体"/>
                <w:kern w:val="0"/>
                <w:sz w:val="20"/>
                <w:szCs w:val="20"/>
              </w:rPr>
            </w:pPr>
            <w:r>
              <w:rPr>
                <w:rFonts w:hint="eastAsia" w:ascii="宋体" w:hAnsi="宋体" w:cs="宋体"/>
                <w:kern w:val="0"/>
                <w:sz w:val="20"/>
                <w:szCs w:val="20"/>
              </w:rPr>
              <w:t>分值权重</w:t>
            </w:r>
          </w:p>
        </w:tc>
        <w:tc>
          <w:tcPr>
            <w:tcW w:w="414" w:type="pct"/>
            <w:shd w:val="clear" w:color="auto" w:fill="auto"/>
            <w:vAlign w:val="center"/>
          </w:tcPr>
          <w:p w14:paraId="372E0DAA">
            <w:pPr>
              <w:widowControl/>
              <w:jc w:val="center"/>
              <w:rPr>
                <w:rFonts w:hint="eastAsia" w:ascii="宋体" w:hAnsi="宋体" w:cs="宋体"/>
                <w:kern w:val="0"/>
                <w:sz w:val="20"/>
                <w:szCs w:val="20"/>
              </w:rPr>
            </w:pPr>
            <w:r>
              <w:rPr>
                <w:rFonts w:hint="eastAsia" w:ascii="宋体" w:hAnsi="宋体" w:cs="宋体"/>
                <w:kern w:val="0"/>
                <w:sz w:val="20"/>
                <w:szCs w:val="20"/>
              </w:rPr>
              <w:t>执行率</w:t>
            </w:r>
          </w:p>
        </w:tc>
        <w:tc>
          <w:tcPr>
            <w:tcW w:w="279" w:type="pct"/>
            <w:shd w:val="clear" w:color="auto" w:fill="auto"/>
            <w:vAlign w:val="center"/>
          </w:tcPr>
          <w:p w14:paraId="7CCEF5BE">
            <w:pPr>
              <w:widowControl/>
              <w:jc w:val="center"/>
              <w:rPr>
                <w:rFonts w:hint="eastAsia" w:ascii="宋体" w:hAnsi="宋体" w:cs="宋体"/>
                <w:kern w:val="0"/>
                <w:sz w:val="20"/>
                <w:szCs w:val="20"/>
              </w:rPr>
            </w:pPr>
            <w:r>
              <w:rPr>
                <w:rFonts w:hint="eastAsia" w:ascii="宋体" w:hAnsi="宋体" w:cs="宋体"/>
                <w:kern w:val="0"/>
                <w:sz w:val="20"/>
                <w:szCs w:val="20"/>
              </w:rPr>
              <w:t>得分</w:t>
            </w:r>
          </w:p>
        </w:tc>
      </w:tr>
      <w:tr w14:paraId="548C8B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trPr>
        <w:tc>
          <w:tcPr>
            <w:tcW w:w="692" w:type="pct"/>
            <w:vMerge w:val="continue"/>
            <w:vAlign w:val="center"/>
          </w:tcPr>
          <w:p w14:paraId="31F53D6D">
            <w:pPr>
              <w:widowControl/>
              <w:jc w:val="left"/>
              <w:rPr>
                <w:rFonts w:hint="eastAsia" w:ascii="宋体" w:hAnsi="宋体" w:cs="宋体"/>
                <w:kern w:val="0"/>
                <w:sz w:val="20"/>
                <w:szCs w:val="20"/>
              </w:rPr>
            </w:pPr>
          </w:p>
        </w:tc>
        <w:tc>
          <w:tcPr>
            <w:tcW w:w="786" w:type="pct"/>
            <w:shd w:val="clear" w:color="auto" w:fill="auto"/>
            <w:noWrap/>
            <w:vAlign w:val="center"/>
          </w:tcPr>
          <w:p w14:paraId="2842549E">
            <w:pPr>
              <w:widowControl/>
              <w:jc w:val="center"/>
              <w:rPr>
                <w:rFonts w:hint="eastAsia" w:ascii="宋体" w:hAnsi="宋体" w:cs="宋体"/>
                <w:kern w:val="0"/>
                <w:sz w:val="20"/>
                <w:szCs w:val="20"/>
              </w:rPr>
            </w:pPr>
            <w:r>
              <w:rPr>
                <w:rFonts w:hint="eastAsia" w:ascii="宋体" w:hAnsi="宋体" w:cs="宋体"/>
                <w:kern w:val="0"/>
                <w:sz w:val="20"/>
                <w:szCs w:val="20"/>
              </w:rPr>
              <w:t>中央安排</w:t>
            </w:r>
          </w:p>
        </w:tc>
        <w:tc>
          <w:tcPr>
            <w:tcW w:w="748" w:type="pct"/>
            <w:shd w:val="clear" w:color="auto" w:fill="auto"/>
            <w:vAlign w:val="center"/>
          </w:tcPr>
          <w:p w14:paraId="13B4F8F5">
            <w:pPr>
              <w:widowControl/>
              <w:jc w:val="center"/>
              <w:rPr>
                <w:rFonts w:hint="eastAsia" w:ascii="宋体" w:hAnsi="宋体" w:cs="宋体"/>
                <w:kern w:val="0"/>
                <w:sz w:val="20"/>
                <w:szCs w:val="20"/>
              </w:rPr>
            </w:pPr>
            <w:r>
              <w:rPr>
                <w:rFonts w:hint="eastAsia" w:ascii="宋体" w:hAnsi="宋体" w:cs="宋体"/>
                <w:kern w:val="0"/>
                <w:sz w:val="20"/>
                <w:szCs w:val="20"/>
              </w:rPr>
              <w:t xml:space="preserve">312.43 </w:t>
            </w:r>
          </w:p>
        </w:tc>
        <w:tc>
          <w:tcPr>
            <w:tcW w:w="751" w:type="pct"/>
            <w:shd w:val="clear" w:color="auto" w:fill="auto"/>
            <w:vAlign w:val="center"/>
          </w:tcPr>
          <w:p w14:paraId="20BF9464">
            <w:pPr>
              <w:widowControl/>
              <w:jc w:val="center"/>
              <w:rPr>
                <w:rFonts w:hint="eastAsia" w:ascii="宋体" w:hAnsi="宋体" w:cs="宋体"/>
                <w:kern w:val="0"/>
                <w:sz w:val="20"/>
                <w:szCs w:val="20"/>
              </w:rPr>
            </w:pPr>
            <w:r>
              <w:rPr>
                <w:rFonts w:hint="eastAsia" w:ascii="宋体" w:hAnsi="宋体" w:cs="宋体"/>
                <w:kern w:val="0"/>
                <w:sz w:val="20"/>
                <w:szCs w:val="20"/>
              </w:rPr>
              <w:t xml:space="preserve">360.24 </w:t>
            </w:r>
          </w:p>
        </w:tc>
        <w:tc>
          <w:tcPr>
            <w:tcW w:w="831" w:type="pct"/>
            <w:shd w:val="clear" w:color="auto" w:fill="auto"/>
            <w:vAlign w:val="center"/>
          </w:tcPr>
          <w:p w14:paraId="70AC7B72">
            <w:pPr>
              <w:widowControl/>
              <w:jc w:val="center"/>
              <w:rPr>
                <w:rFonts w:hint="eastAsia" w:ascii="宋体" w:hAnsi="宋体" w:cs="宋体"/>
                <w:kern w:val="0"/>
                <w:sz w:val="20"/>
                <w:szCs w:val="20"/>
              </w:rPr>
            </w:pPr>
            <w:r>
              <w:rPr>
                <w:rFonts w:hint="eastAsia" w:ascii="宋体" w:hAnsi="宋体" w:cs="宋体"/>
                <w:kern w:val="0"/>
                <w:sz w:val="20"/>
                <w:szCs w:val="20"/>
              </w:rPr>
              <w:t xml:space="preserve">360.24 </w:t>
            </w:r>
          </w:p>
        </w:tc>
        <w:tc>
          <w:tcPr>
            <w:tcW w:w="499" w:type="pct"/>
            <w:shd w:val="clear" w:color="auto" w:fill="auto"/>
            <w:vAlign w:val="center"/>
          </w:tcPr>
          <w:p w14:paraId="2408AA52">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414" w:type="pct"/>
            <w:shd w:val="clear" w:color="auto" w:fill="auto"/>
            <w:vAlign w:val="center"/>
          </w:tcPr>
          <w:p w14:paraId="7B7AC076">
            <w:pPr>
              <w:widowControl/>
              <w:jc w:val="center"/>
              <w:rPr>
                <w:rFonts w:hint="eastAsia" w:ascii="宋体" w:hAnsi="宋体" w:cs="宋体"/>
                <w:kern w:val="0"/>
                <w:sz w:val="20"/>
                <w:szCs w:val="20"/>
              </w:rPr>
            </w:pPr>
            <w:r>
              <w:rPr>
                <w:rFonts w:hint="eastAsia" w:ascii="宋体" w:hAnsi="宋体" w:cs="宋体"/>
                <w:kern w:val="0"/>
                <w:sz w:val="20"/>
                <w:szCs w:val="20"/>
              </w:rPr>
              <w:t>100%</w:t>
            </w:r>
          </w:p>
        </w:tc>
        <w:tc>
          <w:tcPr>
            <w:tcW w:w="279" w:type="pct"/>
            <w:shd w:val="clear" w:color="auto" w:fill="auto"/>
            <w:vAlign w:val="center"/>
          </w:tcPr>
          <w:p w14:paraId="2F36634F">
            <w:pPr>
              <w:widowControl/>
              <w:jc w:val="center"/>
              <w:rPr>
                <w:rFonts w:hint="eastAsia" w:ascii="宋体" w:hAnsi="宋体" w:cs="宋体"/>
                <w:kern w:val="0"/>
                <w:sz w:val="20"/>
                <w:szCs w:val="20"/>
              </w:rPr>
            </w:pPr>
            <w:r>
              <w:rPr>
                <w:rFonts w:hint="eastAsia" w:ascii="宋体" w:hAnsi="宋体" w:cs="宋体"/>
                <w:kern w:val="0"/>
                <w:sz w:val="20"/>
                <w:szCs w:val="20"/>
              </w:rPr>
              <w:t>10</w:t>
            </w:r>
          </w:p>
        </w:tc>
      </w:tr>
      <w:tr w14:paraId="734EF2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trPr>
        <w:tc>
          <w:tcPr>
            <w:tcW w:w="692" w:type="pct"/>
            <w:vMerge w:val="continue"/>
            <w:vAlign w:val="center"/>
          </w:tcPr>
          <w:p w14:paraId="2ED6DAEA">
            <w:pPr>
              <w:widowControl/>
              <w:jc w:val="left"/>
              <w:rPr>
                <w:rFonts w:hint="eastAsia" w:ascii="宋体" w:hAnsi="宋体" w:cs="宋体"/>
                <w:kern w:val="0"/>
                <w:sz w:val="20"/>
                <w:szCs w:val="20"/>
              </w:rPr>
            </w:pPr>
          </w:p>
        </w:tc>
        <w:tc>
          <w:tcPr>
            <w:tcW w:w="786" w:type="pct"/>
            <w:shd w:val="clear" w:color="auto" w:fill="auto"/>
            <w:vAlign w:val="center"/>
          </w:tcPr>
          <w:p w14:paraId="03991AE7">
            <w:pPr>
              <w:widowControl/>
              <w:jc w:val="center"/>
              <w:rPr>
                <w:rFonts w:hint="eastAsia" w:ascii="宋体" w:hAnsi="宋体" w:cs="宋体"/>
                <w:kern w:val="0"/>
                <w:sz w:val="20"/>
                <w:szCs w:val="20"/>
              </w:rPr>
            </w:pPr>
            <w:r>
              <w:rPr>
                <w:rFonts w:hint="eastAsia" w:ascii="宋体" w:hAnsi="宋体" w:cs="宋体"/>
                <w:kern w:val="0"/>
                <w:sz w:val="20"/>
                <w:szCs w:val="20"/>
              </w:rPr>
              <w:t>自治区安排</w:t>
            </w:r>
          </w:p>
        </w:tc>
        <w:tc>
          <w:tcPr>
            <w:tcW w:w="748" w:type="pct"/>
            <w:shd w:val="clear" w:color="auto" w:fill="auto"/>
            <w:vAlign w:val="center"/>
          </w:tcPr>
          <w:p w14:paraId="23A9C5DE">
            <w:pPr>
              <w:widowControl/>
              <w:jc w:val="center"/>
              <w:rPr>
                <w:rFonts w:hint="eastAsia" w:ascii="宋体" w:hAnsi="宋体" w:cs="宋体"/>
                <w:kern w:val="0"/>
                <w:sz w:val="20"/>
                <w:szCs w:val="20"/>
              </w:rPr>
            </w:pPr>
            <w:r>
              <w:rPr>
                <w:rFonts w:hint="eastAsia" w:ascii="宋体" w:hAnsi="宋体" w:cs="宋体"/>
                <w:kern w:val="0"/>
                <w:sz w:val="20"/>
                <w:szCs w:val="20"/>
              </w:rPr>
              <w:t xml:space="preserve">256.96 </w:t>
            </w:r>
          </w:p>
        </w:tc>
        <w:tc>
          <w:tcPr>
            <w:tcW w:w="751" w:type="pct"/>
            <w:shd w:val="clear" w:color="auto" w:fill="auto"/>
            <w:vAlign w:val="center"/>
          </w:tcPr>
          <w:p w14:paraId="4318A718">
            <w:pPr>
              <w:widowControl/>
              <w:jc w:val="center"/>
              <w:rPr>
                <w:rFonts w:hint="eastAsia" w:ascii="宋体" w:hAnsi="宋体" w:cs="宋体"/>
                <w:kern w:val="0"/>
                <w:sz w:val="20"/>
                <w:szCs w:val="20"/>
              </w:rPr>
            </w:pPr>
            <w:r>
              <w:rPr>
                <w:rFonts w:hint="eastAsia" w:ascii="宋体" w:hAnsi="宋体" w:cs="宋体"/>
                <w:kern w:val="0"/>
                <w:sz w:val="20"/>
                <w:szCs w:val="20"/>
              </w:rPr>
              <w:t xml:space="preserve">274.46 </w:t>
            </w:r>
          </w:p>
        </w:tc>
        <w:tc>
          <w:tcPr>
            <w:tcW w:w="831" w:type="pct"/>
            <w:shd w:val="clear" w:color="auto" w:fill="auto"/>
            <w:vAlign w:val="center"/>
          </w:tcPr>
          <w:p w14:paraId="23CF2E92">
            <w:pPr>
              <w:widowControl/>
              <w:jc w:val="center"/>
              <w:rPr>
                <w:rFonts w:hint="eastAsia" w:ascii="宋体" w:hAnsi="宋体" w:cs="宋体"/>
                <w:kern w:val="0"/>
                <w:sz w:val="20"/>
                <w:szCs w:val="20"/>
              </w:rPr>
            </w:pPr>
            <w:r>
              <w:rPr>
                <w:rFonts w:hint="eastAsia" w:ascii="宋体" w:hAnsi="宋体" w:cs="宋体"/>
                <w:kern w:val="0"/>
                <w:sz w:val="20"/>
                <w:szCs w:val="20"/>
              </w:rPr>
              <w:t xml:space="preserve">274.46 </w:t>
            </w:r>
          </w:p>
        </w:tc>
        <w:tc>
          <w:tcPr>
            <w:tcW w:w="499" w:type="pct"/>
            <w:shd w:val="clear" w:color="auto" w:fill="auto"/>
            <w:vAlign w:val="center"/>
          </w:tcPr>
          <w:p w14:paraId="5E3A4B43">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414" w:type="pct"/>
            <w:shd w:val="clear" w:color="auto" w:fill="auto"/>
            <w:vAlign w:val="center"/>
          </w:tcPr>
          <w:p w14:paraId="7D663A54">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279" w:type="pct"/>
            <w:shd w:val="clear" w:color="auto" w:fill="auto"/>
            <w:vAlign w:val="center"/>
          </w:tcPr>
          <w:p w14:paraId="55D8A56C">
            <w:pPr>
              <w:widowControl/>
              <w:jc w:val="center"/>
              <w:rPr>
                <w:rFonts w:hint="eastAsia" w:ascii="宋体" w:hAnsi="宋体" w:cs="宋体"/>
                <w:kern w:val="0"/>
                <w:sz w:val="20"/>
                <w:szCs w:val="20"/>
              </w:rPr>
            </w:pPr>
            <w:r>
              <w:rPr>
                <w:rFonts w:hint="eastAsia" w:ascii="宋体" w:hAnsi="宋体" w:cs="宋体"/>
                <w:kern w:val="0"/>
                <w:sz w:val="20"/>
                <w:szCs w:val="20"/>
              </w:rPr>
              <w:t>-</w:t>
            </w:r>
          </w:p>
        </w:tc>
      </w:tr>
      <w:tr w14:paraId="73AFD7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trPr>
        <w:tc>
          <w:tcPr>
            <w:tcW w:w="692" w:type="pct"/>
            <w:vMerge w:val="continue"/>
            <w:vAlign w:val="center"/>
          </w:tcPr>
          <w:p w14:paraId="36B18A06">
            <w:pPr>
              <w:widowControl/>
              <w:jc w:val="left"/>
              <w:rPr>
                <w:rFonts w:hint="eastAsia" w:ascii="宋体" w:hAnsi="宋体" w:cs="宋体"/>
                <w:kern w:val="0"/>
                <w:sz w:val="20"/>
                <w:szCs w:val="20"/>
              </w:rPr>
            </w:pPr>
          </w:p>
        </w:tc>
        <w:tc>
          <w:tcPr>
            <w:tcW w:w="786" w:type="pct"/>
            <w:shd w:val="clear" w:color="auto" w:fill="auto"/>
            <w:vAlign w:val="center"/>
          </w:tcPr>
          <w:p w14:paraId="5408E850">
            <w:pPr>
              <w:widowControl/>
              <w:jc w:val="center"/>
              <w:rPr>
                <w:rFonts w:hint="eastAsia" w:ascii="宋体" w:hAnsi="宋体" w:cs="宋体"/>
                <w:kern w:val="0"/>
                <w:sz w:val="20"/>
                <w:szCs w:val="20"/>
              </w:rPr>
            </w:pPr>
            <w:r>
              <w:rPr>
                <w:rFonts w:hint="eastAsia" w:ascii="宋体" w:hAnsi="宋体" w:cs="宋体"/>
                <w:kern w:val="0"/>
                <w:sz w:val="20"/>
                <w:szCs w:val="20"/>
              </w:rPr>
              <w:t>地（州、市）安排</w:t>
            </w:r>
          </w:p>
        </w:tc>
        <w:tc>
          <w:tcPr>
            <w:tcW w:w="748" w:type="pct"/>
            <w:shd w:val="clear" w:color="auto" w:fill="auto"/>
            <w:vAlign w:val="center"/>
          </w:tcPr>
          <w:p w14:paraId="74C5209F">
            <w:pPr>
              <w:widowControl/>
              <w:jc w:val="center"/>
              <w:rPr>
                <w:rFonts w:hint="eastAsia" w:ascii="宋体" w:hAnsi="宋体" w:cs="宋体"/>
                <w:kern w:val="0"/>
                <w:sz w:val="20"/>
                <w:szCs w:val="20"/>
              </w:rPr>
            </w:pPr>
            <w:r>
              <w:rPr>
                <w:rFonts w:hint="eastAsia" w:ascii="宋体" w:hAnsi="宋体" w:cs="宋体"/>
                <w:kern w:val="0"/>
                <w:sz w:val="20"/>
                <w:szCs w:val="20"/>
              </w:rPr>
              <w:t xml:space="preserve">0.00 </w:t>
            </w:r>
          </w:p>
        </w:tc>
        <w:tc>
          <w:tcPr>
            <w:tcW w:w="751" w:type="pct"/>
            <w:shd w:val="clear" w:color="auto" w:fill="auto"/>
            <w:vAlign w:val="center"/>
          </w:tcPr>
          <w:p w14:paraId="4981729D">
            <w:pPr>
              <w:widowControl/>
              <w:jc w:val="center"/>
              <w:rPr>
                <w:rFonts w:hint="eastAsia" w:ascii="宋体" w:hAnsi="宋体" w:cs="宋体"/>
                <w:kern w:val="0"/>
                <w:sz w:val="20"/>
                <w:szCs w:val="20"/>
              </w:rPr>
            </w:pPr>
            <w:r>
              <w:rPr>
                <w:rFonts w:hint="eastAsia" w:ascii="宋体" w:hAnsi="宋体" w:cs="宋体"/>
                <w:kern w:val="0"/>
                <w:sz w:val="20"/>
                <w:szCs w:val="20"/>
              </w:rPr>
              <w:t xml:space="preserve">0.00 </w:t>
            </w:r>
          </w:p>
        </w:tc>
        <w:tc>
          <w:tcPr>
            <w:tcW w:w="831" w:type="pct"/>
            <w:shd w:val="clear" w:color="auto" w:fill="auto"/>
            <w:vAlign w:val="center"/>
          </w:tcPr>
          <w:p w14:paraId="0616DECF">
            <w:pPr>
              <w:widowControl/>
              <w:jc w:val="center"/>
              <w:rPr>
                <w:rFonts w:hint="eastAsia" w:ascii="宋体" w:hAnsi="宋体" w:cs="宋体"/>
                <w:kern w:val="0"/>
                <w:sz w:val="20"/>
                <w:szCs w:val="20"/>
              </w:rPr>
            </w:pPr>
            <w:r>
              <w:rPr>
                <w:rFonts w:hint="eastAsia" w:ascii="宋体" w:hAnsi="宋体" w:cs="宋体"/>
                <w:kern w:val="0"/>
                <w:sz w:val="20"/>
                <w:szCs w:val="20"/>
              </w:rPr>
              <w:t xml:space="preserve">0.00 </w:t>
            </w:r>
          </w:p>
        </w:tc>
        <w:tc>
          <w:tcPr>
            <w:tcW w:w="499" w:type="pct"/>
            <w:shd w:val="clear" w:color="auto" w:fill="auto"/>
            <w:vAlign w:val="center"/>
          </w:tcPr>
          <w:p w14:paraId="366E62A6">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414" w:type="pct"/>
            <w:shd w:val="clear" w:color="auto" w:fill="auto"/>
            <w:vAlign w:val="center"/>
          </w:tcPr>
          <w:p w14:paraId="43CB3DAA">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279" w:type="pct"/>
            <w:shd w:val="clear" w:color="auto" w:fill="auto"/>
            <w:vAlign w:val="center"/>
          </w:tcPr>
          <w:p w14:paraId="670987E9">
            <w:pPr>
              <w:widowControl/>
              <w:jc w:val="center"/>
              <w:rPr>
                <w:rFonts w:hint="eastAsia" w:ascii="宋体" w:hAnsi="宋体" w:cs="宋体"/>
                <w:kern w:val="0"/>
                <w:sz w:val="20"/>
                <w:szCs w:val="20"/>
              </w:rPr>
            </w:pPr>
            <w:r>
              <w:rPr>
                <w:rFonts w:hint="eastAsia" w:ascii="宋体" w:hAnsi="宋体" w:cs="宋体"/>
                <w:kern w:val="0"/>
                <w:sz w:val="20"/>
                <w:szCs w:val="20"/>
              </w:rPr>
              <w:t>-</w:t>
            </w:r>
          </w:p>
        </w:tc>
      </w:tr>
      <w:tr w14:paraId="19EE20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trPr>
        <w:tc>
          <w:tcPr>
            <w:tcW w:w="692" w:type="pct"/>
            <w:vMerge w:val="continue"/>
            <w:vAlign w:val="center"/>
          </w:tcPr>
          <w:p w14:paraId="3BF3CB7E">
            <w:pPr>
              <w:widowControl/>
              <w:jc w:val="left"/>
              <w:rPr>
                <w:rFonts w:hint="eastAsia" w:ascii="宋体" w:hAnsi="宋体" w:cs="宋体"/>
                <w:kern w:val="0"/>
                <w:sz w:val="20"/>
                <w:szCs w:val="20"/>
              </w:rPr>
            </w:pPr>
          </w:p>
        </w:tc>
        <w:tc>
          <w:tcPr>
            <w:tcW w:w="786" w:type="pct"/>
            <w:shd w:val="clear" w:color="auto" w:fill="auto"/>
            <w:vAlign w:val="center"/>
          </w:tcPr>
          <w:p w14:paraId="12D28136">
            <w:pPr>
              <w:widowControl/>
              <w:jc w:val="center"/>
              <w:rPr>
                <w:rFonts w:hint="eastAsia" w:ascii="宋体" w:hAnsi="宋体" w:cs="宋体"/>
                <w:kern w:val="0"/>
                <w:sz w:val="20"/>
                <w:szCs w:val="20"/>
              </w:rPr>
            </w:pPr>
            <w:r>
              <w:rPr>
                <w:rFonts w:hint="eastAsia" w:ascii="宋体" w:hAnsi="宋体" w:cs="宋体"/>
                <w:kern w:val="0"/>
                <w:sz w:val="20"/>
                <w:szCs w:val="20"/>
              </w:rPr>
              <w:t>县（市、区）安排</w:t>
            </w:r>
          </w:p>
        </w:tc>
        <w:tc>
          <w:tcPr>
            <w:tcW w:w="748" w:type="pct"/>
            <w:shd w:val="clear" w:color="auto" w:fill="auto"/>
            <w:vAlign w:val="center"/>
          </w:tcPr>
          <w:p w14:paraId="30B39F54">
            <w:pPr>
              <w:widowControl/>
              <w:jc w:val="center"/>
              <w:rPr>
                <w:rFonts w:hint="eastAsia" w:ascii="宋体" w:hAnsi="宋体" w:cs="宋体"/>
                <w:kern w:val="0"/>
                <w:sz w:val="20"/>
                <w:szCs w:val="20"/>
              </w:rPr>
            </w:pPr>
            <w:r>
              <w:rPr>
                <w:rFonts w:hint="eastAsia" w:ascii="宋体" w:hAnsi="宋体" w:cs="宋体"/>
                <w:kern w:val="0"/>
                <w:sz w:val="20"/>
                <w:szCs w:val="20"/>
              </w:rPr>
              <w:t xml:space="preserve">98.60 </w:t>
            </w:r>
          </w:p>
        </w:tc>
        <w:tc>
          <w:tcPr>
            <w:tcW w:w="751" w:type="pct"/>
            <w:shd w:val="clear" w:color="auto" w:fill="auto"/>
            <w:vAlign w:val="center"/>
          </w:tcPr>
          <w:p w14:paraId="75F42185">
            <w:pPr>
              <w:widowControl/>
              <w:jc w:val="center"/>
              <w:rPr>
                <w:rFonts w:hint="eastAsia" w:ascii="宋体" w:hAnsi="宋体" w:cs="宋体"/>
                <w:kern w:val="0"/>
                <w:sz w:val="20"/>
                <w:szCs w:val="20"/>
              </w:rPr>
            </w:pPr>
            <w:r>
              <w:rPr>
                <w:rFonts w:hint="eastAsia" w:ascii="宋体" w:hAnsi="宋体" w:cs="宋体"/>
                <w:kern w:val="0"/>
                <w:sz w:val="20"/>
                <w:szCs w:val="20"/>
              </w:rPr>
              <w:t xml:space="preserve">758.09 </w:t>
            </w:r>
          </w:p>
        </w:tc>
        <w:tc>
          <w:tcPr>
            <w:tcW w:w="831" w:type="pct"/>
            <w:shd w:val="clear" w:color="auto" w:fill="auto"/>
            <w:vAlign w:val="center"/>
          </w:tcPr>
          <w:p w14:paraId="31B6DA83">
            <w:pPr>
              <w:widowControl/>
              <w:jc w:val="center"/>
              <w:rPr>
                <w:rFonts w:hint="eastAsia" w:ascii="宋体" w:hAnsi="宋体" w:cs="宋体"/>
                <w:kern w:val="0"/>
                <w:sz w:val="20"/>
                <w:szCs w:val="20"/>
              </w:rPr>
            </w:pPr>
            <w:r>
              <w:rPr>
                <w:rFonts w:hint="eastAsia" w:ascii="宋体" w:hAnsi="宋体" w:cs="宋体"/>
                <w:kern w:val="0"/>
                <w:sz w:val="20"/>
                <w:szCs w:val="20"/>
              </w:rPr>
              <w:t xml:space="preserve">758.06 </w:t>
            </w:r>
          </w:p>
        </w:tc>
        <w:tc>
          <w:tcPr>
            <w:tcW w:w="499" w:type="pct"/>
            <w:shd w:val="clear" w:color="auto" w:fill="auto"/>
            <w:vAlign w:val="center"/>
          </w:tcPr>
          <w:p w14:paraId="4EE99C58">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414" w:type="pct"/>
            <w:shd w:val="clear" w:color="auto" w:fill="auto"/>
            <w:vAlign w:val="center"/>
          </w:tcPr>
          <w:p w14:paraId="731FC41E">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279" w:type="pct"/>
            <w:shd w:val="clear" w:color="auto" w:fill="auto"/>
            <w:vAlign w:val="center"/>
          </w:tcPr>
          <w:p w14:paraId="24B39F2C">
            <w:pPr>
              <w:widowControl/>
              <w:jc w:val="center"/>
              <w:rPr>
                <w:rFonts w:hint="eastAsia" w:ascii="宋体" w:hAnsi="宋体" w:cs="宋体"/>
                <w:kern w:val="0"/>
                <w:sz w:val="20"/>
                <w:szCs w:val="20"/>
              </w:rPr>
            </w:pPr>
            <w:r>
              <w:rPr>
                <w:rFonts w:hint="eastAsia" w:ascii="宋体" w:hAnsi="宋体" w:cs="宋体"/>
                <w:kern w:val="0"/>
                <w:sz w:val="20"/>
                <w:szCs w:val="20"/>
              </w:rPr>
              <w:t>-</w:t>
            </w:r>
          </w:p>
        </w:tc>
      </w:tr>
      <w:tr w14:paraId="419129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trPr>
        <w:tc>
          <w:tcPr>
            <w:tcW w:w="692" w:type="pct"/>
            <w:vMerge w:val="continue"/>
            <w:vAlign w:val="center"/>
          </w:tcPr>
          <w:p w14:paraId="5F65373E">
            <w:pPr>
              <w:widowControl/>
              <w:jc w:val="left"/>
              <w:rPr>
                <w:rFonts w:hint="eastAsia" w:ascii="宋体" w:hAnsi="宋体" w:cs="宋体"/>
                <w:kern w:val="0"/>
                <w:sz w:val="20"/>
                <w:szCs w:val="20"/>
              </w:rPr>
            </w:pPr>
          </w:p>
        </w:tc>
        <w:tc>
          <w:tcPr>
            <w:tcW w:w="786" w:type="pct"/>
            <w:shd w:val="clear" w:color="auto" w:fill="auto"/>
            <w:vAlign w:val="center"/>
          </w:tcPr>
          <w:p w14:paraId="49051F10">
            <w:pPr>
              <w:widowControl/>
              <w:jc w:val="center"/>
              <w:rPr>
                <w:rFonts w:hint="eastAsia" w:ascii="宋体" w:hAnsi="宋体" w:cs="宋体"/>
                <w:kern w:val="0"/>
                <w:sz w:val="20"/>
                <w:szCs w:val="20"/>
              </w:rPr>
            </w:pPr>
            <w:r>
              <w:rPr>
                <w:rFonts w:hint="eastAsia" w:ascii="宋体" w:hAnsi="宋体" w:cs="宋体"/>
                <w:kern w:val="0"/>
                <w:sz w:val="20"/>
                <w:szCs w:val="20"/>
              </w:rPr>
              <w:t>其他资金</w:t>
            </w:r>
          </w:p>
        </w:tc>
        <w:tc>
          <w:tcPr>
            <w:tcW w:w="748" w:type="pct"/>
            <w:shd w:val="clear" w:color="auto" w:fill="auto"/>
            <w:vAlign w:val="center"/>
          </w:tcPr>
          <w:p w14:paraId="648584F9">
            <w:pPr>
              <w:widowControl/>
              <w:jc w:val="center"/>
              <w:rPr>
                <w:rFonts w:hint="eastAsia" w:ascii="宋体" w:hAnsi="宋体" w:cs="宋体"/>
                <w:kern w:val="0"/>
                <w:sz w:val="20"/>
                <w:szCs w:val="20"/>
              </w:rPr>
            </w:pPr>
            <w:r>
              <w:rPr>
                <w:rFonts w:hint="eastAsia" w:ascii="宋体" w:hAnsi="宋体" w:cs="宋体"/>
                <w:kern w:val="0"/>
                <w:sz w:val="20"/>
                <w:szCs w:val="20"/>
              </w:rPr>
              <w:t xml:space="preserve">0.00 </w:t>
            </w:r>
          </w:p>
        </w:tc>
        <w:tc>
          <w:tcPr>
            <w:tcW w:w="751" w:type="pct"/>
            <w:shd w:val="clear" w:color="auto" w:fill="auto"/>
            <w:vAlign w:val="center"/>
          </w:tcPr>
          <w:p w14:paraId="714B2E54">
            <w:pPr>
              <w:widowControl/>
              <w:jc w:val="center"/>
              <w:rPr>
                <w:rFonts w:hint="eastAsia" w:ascii="宋体" w:hAnsi="宋体" w:cs="宋体"/>
                <w:kern w:val="0"/>
                <w:sz w:val="20"/>
                <w:szCs w:val="20"/>
              </w:rPr>
            </w:pPr>
            <w:r>
              <w:rPr>
                <w:rFonts w:hint="eastAsia" w:ascii="宋体" w:hAnsi="宋体" w:cs="宋体"/>
                <w:kern w:val="0"/>
                <w:sz w:val="20"/>
                <w:szCs w:val="20"/>
              </w:rPr>
              <w:t xml:space="preserve">0.00 </w:t>
            </w:r>
          </w:p>
        </w:tc>
        <w:tc>
          <w:tcPr>
            <w:tcW w:w="831" w:type="pct"/>
            <w:shd w:val="clear" w:color="auto" w:fill="auto"/>
            <w:vAlign w:val="center"/>
          </w:tcPr>
          <w:p w14:paraId="6C3D3F9A">
            <w:pPr>
              <w:widowControl/>
              <w:jc w:val="center"/>
              <w:rPr>
                <w:rFonts w:hint="eastAsia" w:ascii="宋体" w:hAnsi="宋体" w:cs="宋体"/>
                <w:kern w:val="0"/>
                <w:sz w:val="20"/>
                <w:szCs w:val="20"/>
              </w:rPr>
            </w:pPr>
            <w:r>
              <w:rPr>
                <w:rFonts w:hint="eastAsia" w:ascii="宋体" w:hAnsi="宋体" w:cs="宋体"/>
                <w:kern w:val="0"/>
                <w:sz w:val="20"/>
                <w:szCs w:val="20"/>
              </w:rPr>
              <w:t xml:space="preserve">0.00 </w:t>
            </w:r>
          </w:p>
        </w:tc>
        <w:tc>
          <w:tcPr>
            <w:tcW w:w="499" w:type="pct"/>
            <w:shd w:val="clear" w:color="auto" w:fill="auto"/>
            <w:vAlign w:val="center"/>
          </w:tcPr>
          <w:p w14:paraId="04BDF727">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414" w:type="pct"/>
            <w:shd w:val="clear" w:color="auto" w:fill="auto"/>
            <w:vAlign w:val="center"/>
          </w:tcPr>
          <w:p w14:paraId="06BF3E8E">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279" w:type="pct"/>
            <w:shd w:val="clear" w:color="auto" w:fill="auto"/>
            <w:vAlign w:val="center"/>
          </w:tcPr>
          <w:p w14:paraId="71CF8794">
            <w:pPr>
              <w:widowControl/>
              <w:jc w:val="center"/>
              <w:rPr>
                <w:rFonts w:hint="eastAsia" w:ascii="宋体" w:hAnsi="宋体" w:cs="宋体"/>
                <w:kern w:val="0"/>
                <w:sz w:val="20"/>
                <w:szCs w:val="20"/>
              </w:rPr>
            </w:pPr>
            <w:r>
              <w:rPr>
                <w:rFonts w:hint="eastAsia" w:ascii="宋体" w:hAnsi="宋体" w:cs="宋体"/>
                <w:kern w:val="0"/>
                <w:sz w:val="20"/>
                <w:szCs w:val="20"/>
              </w:rPr>
              <w:t>-</w:t>
            </w:r>
          </w:p>
        </w:tc>
      </w:tr>
      <w:tr w14:paraId="46F7D2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trPr>
        <w:tc>
          <w:tcPr>
            <w:tcW w:w="692" w:type="pct"/>
            <w:vMerge w:val="continue"/>
            <w:vAlign w:val="center"/>
          </w:tcPr>
          <w:p w14:paraId="78E7AEFF">
            <w:pPr>
              <w:widowControl/>
              <w:jc w:val="left"/>
              <w:rPr>
                <w:rFonts w:hint="eastAsia" w:ascii="宋体" w:hAnsi="宋体" w:cs="宋体"/>
                <w:kern w:val="0"/>
                <w:sz w:val="20"/>
                <w:szCs w:val="20"/>
              </w:rPr>
            </w:pPr>
          </w:p>
        </w:tc>
        <w:tc>
          <w:tcPr>
            <w:tcW w:w="786" w:type="pct"/>
            <w:shd w:val="clear" w:color="auto" w:fill="auto"/>
            <w:vAlign w:val="center"/>
          </w:tcPr>
          <w:p w14:paraId="6B31626C">
            <w:pPr>
              <w:widowControl/>
              <w:jc w:val="center"/>
              <w:rPr>
                <w:rFonts w:hint="eastAsia" w:ascii="宋体" w:hAnsi="宋体" w:cs="宋体"/>
                <w:kern w:val="0"/>
                <w:sz w:val="20"/>
                <w:szCs w:val="20"/>
              </w:rPr>
            </w:pPr>
            <w:r>
              <w:rPr>
                <w:rFonts w:hint="eastAsia" w:ascii="宋体" w:hAnsi="宋体" w:cs="宋体"/>
                <w:kern w:val="0"/>
                <w:sz w:val="20"/>
                <w:szCs w:val="20"/>
              </w:rPr>
              <w:t>合计</w:t>
            </w:r>
          </w:p>
        </w:tc>
        <w:tc>
          <w:tcPr>
            <w:tcW w:w="748" w:type="pct"/>
            <w:shd w:val="clear" w:color="auto" w:fill="auto"/>
            <w:vAlign w:val="center"/>
          </w:tcPr>
          <w:p w14:paraId="6099B7C0">
            <w:pPr>
              <w:widowControl/>
              <w:jc w:val="center"/>
              <w:rPr>
                <w:rFonts w:hint="eastAsia" w:ascii="宋体" w:hAnsi="宋体" w:cs="宋体"/>
                <w:kern w:val="0"/>
                <w:sz w:val="20"/>
                <w:szCs w:val="20"/>
              </w:rPr>
            </w:pPr>
            <w:r>
              <w:rPr>
                <w:rFonts w:hint="eastAsia" w:ascii="宋体" w:hAnsi="宋体" w:cs="宋体"/>
                <w:kern w:val="0"/>
                <w:sz w:val="20"/>
                <w:szCs w:val="20"/>
              </w:rPr>
              <w:t xml:space="preserve">667.99 </w:t>
            </w:r>
          </w:p>
        </w:tc>
        <w:tc>
          <w:tcPr>
            <w:tcW w:w="751" w:type="pct"/>
            <w:shd w:val="clear" w:color="auto" w:fill="auto"/>
            <w:vAlign w:val="center"/>
          </w:tcPr>
          <w:p w14:paraId="042B3DF6">
            <w:pPr>
              <w:widowControl/>
              <w:jc w:val="center"/>
              <w:rPr>
                <w:rFonts w:hint="eastAsia" w:ascii="宋体" w:hAnsi="宋体" w:cs="宋体"/>
                <w:kern w:val="0"/>
                <w:sz w:val="20"/>
                <w:szCs w:val="20"/>
              </w:rPr>
            </w:pPr>
            <w:r>
              <w:rPr>
                <w:rFonts w:hint="eastAsia" w:ascii="宋体" w:hAnsi="宋体" w:cs="宋体"/>
                <w:kern w:val="0"/>
                <w:sz w:val="20"/>
                <w:szCs w:val="20"/>
              </w:rPr>
              <w:t xml:space="preserve">1,392.79 </w:t>
            </w:r>
          </w:p>
        </w:tc>
        <w:tc>
          <w:tcPr>
            <w:tcW w:w="831" w:type="pct"/>
            <w:shd w:val="clear" w:color="auto" w:fill="auto"/>
            <w:vAlign w:val="center"/>
          </w:tcPr>
          <w:p w14:paraId="09F4A77D">
            <w:pPr>
              <w:widowControl/>
              <w:jc w:val="center"/>
              <w:rPr>
                <w:rFonts w:hint="eastAsia" w:ascii="宋体" w:hAnsi="宋体" w:cs="宋体"/>
                <w:kern w:val="0"/>
                <w:sz w:val="20"/>
                <w:szCs w:val="20"/>
              </w:rPr>
            </w:pPr>
            <w:r>
              <w:rPr>
                <w:rFonts w:hint="eastAsia" w:ascii="宋体" w:hAnsi="宋体" w:cs="宋体"/>
                <w:kern w:val="0"/>
                <w:sz w:val="20"/>
                <w:szCs w:val="20"/>
              </w:rPr>
              <w:t xml:space="preserve">1,392.76 </w:t>
            </w:r>
          </w:p>
        </w:tc>
        <w:tc>
          <w:tcPr>
            <w:tcW w:w="499" w:type="pct"/>
            <w:shd w:val="clear" w:color="auto" w:fill="auto"/>
            <w:vAlign w:val="center"/>
          </w:tcPr>
          <w:p w14:paraId="09CA24D4">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414" w:type="pct"/>
            <w:shd w:val="clear" w:color="auto" w:fill="auto"/>
            <w:vAlign w:val="center"/>
          </w:tcPr>
          <w:p w14:paraId="2AF39842">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279" w:type="pct"/>
            <w:shd w:val="clear" w:color="auto" w:fill="auto"/>
            <w:vAlign w:val="center"/>
          </w:tcPr>
          <w:p w14:paraId="5E24DB24">
            <w:pPr>
              <w:widowControl/>
              <w:jc w:val="center"/>
              <w:rPr>
                <w:rFonts w:hint="eastAsia" w:ascii="宋体" w:hAnsi="宋体" w:cs="宋体"/>
                <w:kern w:val="0"/>
                <w:sz w:val="20"/>
                <w:szCs w:val="20"/>
              </w:rPr>
            </w:pPr>
            <w:r>
              <w:rPr>
                <w:rFonts w:hint="eastAsia" w:ascii="宋体" w:hAnsi="宋体" w:cs="宋体"/>
                <w:kern w:val="0"/>
                <w:sz w:val="20"/>
                <w:szCs w:val="20"/>
              </w:rPr>
              <w:t>-</w:t>
            </w:r>
          </w:p>
        </w:tc>
      </w:tr>
      <w:tr w14:paraId="20F1F8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5" w:hRule="atLeast"/>
        </w:trPr>
        <w:tc>
          <w:tcPr>
            <w:tcW w:w="692" w:type="pct"/>
            <w:vMerge w:val="restart"/>
            <w:shd w:val="clear" w:color="auto" w:fill="auto"/>
            <w:vAlign w:val="center"/>
          </w:tcPr>
          <w:p w14:paraId="2C5899E6">
            <w:pPr>
              <w:widowControl/>
              <w:jc w:val="center"/>
              <w:rPr>
                <w:rFonts w:hint="eastAsia" w:ascii="宋体" w:hAnsi="宋体" w:cs="宋体"/>
                <w:kern w:val="0"/>
                <w:sz w:val="20"/>
                <w:szCs w:val="20"/>
              </w:rPr>
            </w:pPr>
            <w:r>
              <w:rPr>
                <w:rFonts w:hint="eastAsia" w:ascii="宋体" w:hAnsi="宋体" w:cs="宋体"/>
                <w:kern w:val="0"/>
                <w:sz w:val="20"/>
                <w:szCs w:val="20"/>
              </w:rPr>
              <w:t>年度总体目标</w:t>
            </w:r>
          </w:p>
        </w:tc>
        <w:tc>
          <w:tcPr>
            <w:tcW w:w="2285" w:type="pct"/>
            <w:gridSpan w:val="3"/>
            <w:shd w:val="clear" w:color="auto" w:fill="auto"/>
            <w:noWrap/>
            <w:vAlign w:val="center"/>
          </w:tcPr>
          <w:p w14:paraId="5E14C87F">
            <w:pPr>
              <w:widowControl/>
              <w:jc w:val="center"/>
              <w:rPr>
                <w:rFonts w:hint="eastAsia" w:ascii="宋体" w:hAnsi="宋体" w:cs="宋体"/>
                <w:kern w:val="0"/>
                <w:sz w:val="20"/>
                <w:szCs w:val="20"/>
              </w:rPr>
            </w:pPr>
            <w:r>
              <w:rPr>
                <w:rFonts w:hint="eastAsia" w:ascii="宋体" w:hAnsi="宋体" w:cs="宋体"/>
                <w:kern w:val="0"/>
                <w:sz w:val="20"/>
                <w:szCs w:val="20"/>
              </w:rPr>
              <w:t>预期目标</w:t>
            </w:r>
          </w:p>
        </w:tc>
        <w:tc>
          <w:tcPr>
            <w:tcW w:w="2023" w:type="pct"/>
            <w:gridSpan w:val="4"/>
            <w:shd w:val="clear" w:color="auto" w:fill="auto"/>
            <w:noWrap/>
            <w:vAlign w:val="center"/>
          </w:tcPr>
          <w:p w14:paraId="5E5C95F6">
            <w:pPr>
              <w:widowControl/>
              <w:jc w:val="center"/>
              <w:rPr>
                <w:rFonts w:hint="eastAsia" w:ascii="宋体" w:hAnsi="宋体" w:cs="宋体"/>
                <w:kern w:val="0"/>
                <w:sz w:val="20"/>
                <w:szCs w:val="20"/>
              </w:rPr>
            </w:pPr>
            <w:r>
              <w:rPr>
                <w:rFonts w:hint="eastAsia" w:ascii="宋体" w:hAnsi="宋体" w:cs="宋体"/>
                <w:kern w:val="0"/>
                <w:sz w:val="20"/>
                <w:szCs w:val="20"/>
              </w:rPr>
              <w:t>实际完成情况</w:t>
            </w:r>
          </w:p>
        </w:tc>
      </w:tr>
      <w:tr w14:paraId="30311A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99" w:hRule="atLeast"/>
        </w:trPr>
        <w:tc>
          <w:tcPr>
            <w:tcW w:w="692" w:type="pct"/>
            <w:vMerge w:val="continue"/>
            <w:vAlign w:val="center"/>
          </w:tcPr>
          <w:p w14:paraId="7DE2A2AA">
            <w:pPr>
              <w:widowControl/>
              <w:jc w:val="left"/>
              <w:rPr>
                <w:rFonts w:hint="eastAsia" w:ascii="宋体" w:hAnsi="宋体" w:cs="宋体"/>
                <w:kern w:val="0"/>
                <w:sz w:val="20"/>
                <w:szCs w:val="20"/>
              </w:rPr>
            </w:pPr>
          </w:p>
        </w:tc>
        <w:tc>
          <w:tcPr>
            <w:tcW w:w="2285" w:type="pct"/>
            <w:gridSpan w:val="3"/>
            <w:shd w:val="clear" w:color="auto" w:fill="auto"/>
            <w:vAlign w:val="center"/>
          </w:tcPr>
          <w:p w14:paraId="7A875DEC">
            <w:pPr>
              <w:widowControl/>
              <w:jc w:val="center"/>
              <w:rPr>
                <w:rFonts w:hint="eastAsia" w:ascii="宋体" w:hAnsi="宋体" w:cs="宋体"/>
                <w:kern w:val="0"/>
                <w:sz w:val="20"/>
                <w:szCs w:val="20"/>
              </w:rPr>
            </w:pPr>
            <w:r>
              <w:rPr>
                <w:rFonts w:hint="eastAsia" w:ascii="宋体" w:hAnsi="宋体" w:cs="宋体"/>
                <w:kern w:val="0"/>
                <w:sz w:val="20"/>
                <w:szCs w:val="20"/>
              </w:rPr>
              <w:t>发放17名地方伤残人员伤残抚恤金，254名优抚对象生活补助，22名退役士兵一次性经济补助和高原补贴。及时做好56名军转干部、军休干部、伤残退伍军人职工医疗保险核定与缴纳。做好9个驻军部队65名重点优抚对象拥军优属工作。开展拥军优属活动2次；保障木垒县退役军人事务局圆满完成各项工作任务。</w:t>
            </w:r>
          </w:p>
        </w:tc>
        <w:tc>
          <w:tcPr>
            <w:tcW w:w="2023" w:type="pct"/>
            <w:gridSpan w:val="4"/>
            <w:shd w:val="clear" w:color="auto" w:fill="auto"/>
            <w:vAlign w:val="center"/>
          </w:tcPr>
          <w:p w14:paraId="362B24D7">
            <w:pPr>
              <w:widowControl/>
              <w:jc w:val="center"/>
              <w:rPr>
                <w:rFonts w:hint="eastAsia" w:ascii="宋体" w:hAnsi="宋体" w:cs="宋体"/>
                <w:kern w:val="0"/>
                <w:sz w:val="20"/>
                <w:szCs w:val="20"/>
              </w:rPr>
            </w:pPr>
            <w:r>
              <w:rPr>
                <w:rFonts w:hint="eastAsia" w:ascii="宋体" w:hAnsi="宋体" w:cs="宋体"/>
                <w:kern w:val="0"/>
                <w:sz w:val="20"/>
                <w:szCs w:val="20"/>
              </w:rPr>
              <w:t>截止2023年部门整体自评，我单位已完成如下工作：保障办公人员数量8人，退役军人技能培训合格率100%。发放17名地方伤残人员伤残抚恤金，279名优抚对象1-12月生活补助，22名退役士兵一次性经济补助和高原补贴。及时做好56名军转干部、军休干部、伤残退伍军人职工医疗保险核定与缴纳。完成9个驻军部队65名重点优抚对象拥军优属工作。成功开展拥军优属活动2次；保障了木垒县退役军人事务局圆满完成各项工作任务。</w:t>
            </w:r>
          </w:p>
        </w:tc>
      </w:tr>
      <w:tr w14:paraId="130A23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trPr>
        <w:tc>
          <w:tcPr>
            <w:tcW w:w="692" w:type="pct"/>
            <w:shd w:val="clear" w:color="auto" w:fill="auto"/>
            <w:vAlign w:val="center"/>
          </w:tcPr>
          <w:p w14:paraId="66D49A3E">
            <w:pPr>
              <w:widowControl/>
              <w:jc w:val="center"/>
              <w:rPr>
                <w:rFonts w:hint="eastAsia" w:ascii="宋体" w:hAnsi="宋体" w:cs="宋体"/>
                <w:kern w:val="0"/>
                <w:sz w:val="20"/>
                <w:szCs w:val="20"/>
              </w:rPr>
            </w:pPr>
            <w:r>
              <w:rPr>
                <w:rFonts w:hint="eastAsia" w:ascii="宋体" w:hAnsi="宋体" w:cs="宋体"/>
                <w:kern w:val="0"/>
                <w:sz w:val="20"/>
                <w:szCs w:val="20"/>
              </w:rPr>
              <w:t>一级指标</w:t>
            </w:r>
          </w:p>
        </w:tc>
        <w:tc>
          <w:tcPr>
            <w:tcW w:w="786" w:type="pct"/>
            <w:shd w:val="clear" w:color="auto" w:fill="auto"/>
            <w:vAlign w:val="center"/>
          </w:tcPr>
          <w:p w14:paraId="052E2281">
            <w:pPr>
              <w:widowControl/>
              <w:jc w:val="center"/>
              <w:rPr>
                <w:rFonts w:hint="eastAsia" w:ascii="宋体" w:hAnsi="宋体" w:cs="宋体"/>
                <w:kern w:val="0"/>
                <w:sz w:val="20"/>
                <w:szCs w:val="20"/>
              </w:rPr>
            </w:pPr>
            <w:r>
              <w:rPr>
                <w:rFonts w:hint="eastAsia" w:ascii="宋体" w:hAnsi="宋体" w:cs="宋体"/>
                <w:kern w:val="0"/>
                <w:sz w:val="20"/>
                <w:szCs w:val="20"/>
              </w:rPr>
              <w:t>二级指标</w:t>
            </w:r>
          </w:p>
        </w:tc>
        <w:tc>
          <w:tcPr>
            <w:tcW w:w="748" w:type="pct"/>
            <w:shd w:val="clear" w:color="auto" w:fill="auto"/>
            <w:vAlign w:val="center"/>
          </w:tcPr>
          <w:p w14:paraId="55EE6A81">
            <w:pPr>
              <w:widowControl/>
              <w:jc w:val="center"/>
              <w:rPr>
                <w:rFonts w:hint="eastAsia" w:ascii="宋体" w:hAnsi="宋体" w:cs="宋体"/>
                <w:kern w:val="0"/>
                <w:sz w:val="20"/>
                <w:szCs w:val="20"/>
              </w:rPr>
            </w:pPr>
            <w:r>
              <w:rPr>
                <w:rFonts w:hint="eastAsia" w:ascii="宋体" w:hAnsi="宋体" w:cs="宋体"/>
                <w:kern w:val="0"/>
                <w:sz w:val="20"/>
                <w:szCs w:val="20"/>
              </w:rPr>
              <w:t>三级指标</w:t>
            </w:r>
          </w:p>
        </w:tc>
        <w:tc>
          <w:tcPr>
            <w:tcW w:w="751" w:type="pct"/>
            <w:shd w:val="clear" w:color="auto" w:fill="auto"/>
            <w:vAlign w:val="center"/>
          </w:tcPr>
          <w:p w14:paraId="3678C72F">
            <w:pPr>
              <w:widowControl/>
              <w:jc w:val="center"/>
              <w:rPr>
                <w:rFonts w:hint="eastAsia" w:ascii="宋体" w:hAnsi="宋体" w:cs="宋体"/>
                <w:kern w:val="0"/>
                <w:sz w:val="20"/>
                <w:szCs w:val="20"/>
              </w:rPr>
            </w:pPr>
            <w:r>
              <w:rPr>
                <w:rFonts w:hint="eastAsia" w:ascii="宋体" w:hAnsi="宋体" w:cs="宋体"/>
                <w:kern w:val="0"/>
                <w:sz w:val="20"/>
                <w:szCs w:val="20"/>
              </w:rPr>
              <w:t>预期指标值</w:t>
            </w:r>
          </w:p>
        </w:tc>
        <w:tc>
          <w:tcPr>
            <w:tcW w:w="831" w:type="pct"/>
            <w:shd w:val="clear" w:color="auto" w:fill="auto"/>
            <w:vAlign w:val="center"/>
          </w:tcPr>
          <w:p w14:paraId="527E1444">
            <w:pPr>
              <w:widowControl/>
              <w:jc w:val="center"/>
              <w:rPr>
                <w:rFonts w:hint="eastAsia" w:ascii="宋体" w:hAnsi="宋体" w:cs="宋体"/>
                <w:kern w:val="0"/>
                <w:sz w:val="20"/>
                <w:szCs w:val="20"/>
              </w:rPr>
            </w:pPr>
            <w:r>
              <w:rPr>
                <w:rFonts w:hint="eastAsia" w:ascii="宋体" w:hAnsi="宋体" w:cs="宋体"/>
                <w:kern w:val="0"/>
                <w:sz w:val="20"/>
                <w:szCs w:val="20"/>
              </w:rPr>
              <w:t>指标值设定依据</w:t>
            </w:r>
          </w:p>
        </w:tc>
        <w:tc>
          <w:tcPr>
            <w:tcW w:w="499" w:type="pct"/>
            <w:shd w:val="clear" w:color="auto" w:fill="auto"/>
            <w:vAlign w:val="center"/>
          </w:tcPr>
          <w:p w14:paraId="49DC4567">
            <w:pPr>
              <w:widowControl/>
              <w:jc w:val="center"/>
              <w:rPr>
                <w:rFonts w:hint="eastAsia" w:ascii="宋体" w:hAnsi="宋体" w:cs="宋体"/>
                <w:kern w:val="0"/>
                <w:sz w:val="20"/>
                <w:szCs w:val="20"/>
              </w:rPr>
            </w:pPr>
            <w:r>
              <w:rPr>
                <w:rFonts w:hint="eastAsia" w:ascii="宋体" w:hAnsi="宋体" w:cs="宋体"/>
                <w:kern w:val="0"/>
                <w:sz w:val="20"/>
                <w:szCs w:val="20"/>
              </w:rPr>
              <w:t>分值权重</w:t>
            </w:r>
          </w:p>
        </w:tc>
        <w:tc>
          <w:tcPr>
            <w:tcW w:w="414" w:type="pct"/>
            <w:shd w:val="clear" w:color="auto" w:fill="auto"/>
            <w:vAlign w:val="center"/>
          </w:tcPr>
          <w:p w14:paraId="225F4BF3">
            <w:pPr>
              <w:widowControl/>
              <w:jc w:val="center"/>
              <w:rPr>
                <w:rFonts w:hint="eastAsia" w:ascii="宋体" w:hAnsi="宋体" w:cs="宋体"/>
                <w:kern w:val="0"/>
                <w:sz w:val="20"/>
                <w:szCs w:val="20"/>
              </w:rPr>
            </w:pPr>
            <w:r>
              <w:rPr>
                <w:rFonts w:hint="eastAsia" w:ascii="宋体" w:hAnsi="宋体" w:cs="宋体"/>
                <w:kern w:val="0"/>
                <w:sz w:val="20"/>
                <w:szCs w:val="20"/>
              </w:rPr>
              <w:t>实际完成指标值</w:t>
            </w:r>
          </w:p>
        </w:tc>
        <w:tc>
          <w:tcPr>
            <w:tcW w:w="279" w:type="pct"/>
            <w:shd w:val="clear" w:color="auto" w:fill="auto"/>
            <w:vAlign w:val="center"/>
          </w:tcPr>
          <w:p w14:paraId="3CF1605A">
            <w:pPr>
              <w:widowControl/>
              <w:jc w:val="center"/>
              <w:rPr>
                <w:rFonts w:hint="eastAsia" w:ascii="宋体" w:hAnsi="宋体" w:cs="宋体"/>
                <w:kern w:val="0"/>
                <w:sz w:val="20"/>
                <w:szCs w:val="20"/>
              </w:rPr>
            </w:pPr>
            <w:r>
              <w:rPr>
                <w:rFonts w:hint="eastAsia" w:ascii="宋体" w:hAnsi="宋体" w:cs="宋体"/>
                <w:kern w:val="0"/>
                <w:sz w:val="20"/>
                <w:szCs w:val="20"/>
              </w:rPr>
              <w:t>得分</w:t>
            </w:r>
          </w:p>
        </w:tc>
      </w:tr>
      <w:tr w14:paraId="59E639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trPr>
        <w:tc>
          <w:tcPr>
            <w:tcW w:w="692" w:type="pct"/>
            <w:shd w:val="clear" w:color="auto" w:fill="auto"/>
            <w:vAlign w:val="center"/>
          </w:tcPr>
          <w:p w14:paraId="0703B82A">
            <w:pPr>
              <w:widowControl/>
              <w:jc w:val="center"/>
              <w:rPr>
                <w:rFonts w:hint="eastAsia" w:ascii="宋体" w:hAnsi="宋体" w:cs="宋体"/>
                <w:kern w:val="0"/>
                <w:sz w:val="20"/>
                <w:szCs w:val="20"/>
              </w:rPr>
            </w:pPr>
            <w:r>
              <w:rPr>
                <w:rFonts w:hint="eastAsia" w:ascii="宋体" w:hAnsi="宋体" w:cs="宋体"/>
                <w:kern w:val="0"/>
                <w:sz w:val="20"/>
                <w:szCs w:val="20"/>
              </w:rPr>
              <w:t>运行成本</w:t>
            </w:r>
          </w:p>
        </w:tc>
        <w:tc>
          <w:tcPr>
            <w:tcW w:w="786" w:type="pct"/>
            <w:shd w:val="clear" w:color="auto" w:fill="auto"/>
            <w:vAlign w:val="center"/>
          </w:tcPr>
          <w:p w14:paraId="34BCDD1A">
            <w:pPr>
              <w:widowControl/>
              <w:jc w:val="center"/>
              <w:rPr>
                <w:rFonts w:hint="eastAsia" w:ascii="宋体" w:hAnsi="宋体" w:cs="宋体"/>
                <w:kern w:val="0"/>
                <w:sz w:val="20"/>
                <w:szCs w:val="20"/>
              </w:rPr>
            </w:pPr>
            <w:r>
              <w:rPr>
                <w:rFonts w:hint="eastAsia" w:ascii="宋体" w:hAnsi="宋体" w:cs="宋体"/>
                <w:kern w:val="0"/>
                <w:sz w:val="20"/>
                <w:szCs w:val="20"/>
              </w:rPr>
              <w:t>数量指标</w:t>
            </w:r>
          </w:p>
        </w:tc>
        <w:tc>
          <w:tcPr>
            <w:tcW w:w="748" w:type="pct"/>
            <w:shd w:val="clear" w:color="auto" w:fill="auto"/>
            <w:vAlign w:val="center"/>
          </w:tcPr>
          <w:p w14:paraId="4C7B10FA">
            <w:pPr>
              <w:widowControl/>
              <w:jc w:val="center"/>
              <w:rPr>
                <w:rFonts w:hint="eastAsia" w:ascii="宋体" w:hAnsi="宋体" w:cs="宋体"/>
                <w:kern w:val="0"/>
                <w:sz w:val="20"/>
                <w:szCs w:val="20"/>
              </w:rPr>
            </w:pPr>
            <w:r>
              <w:rPr>
                <w:rFonts w:hint="eastAsia" w:ascii="宋体" w:hAnsi="宋体" w:cs="宋体"/>
                <w:kern w:val="0"/>
                <w:sz w:val="20"/>
                <w:szCs w:val="20"/>
              </w:rPr>
              <w:t>保障办公人员数量</w:t>
            </w:r>
          </w:p>
        </w:tc>
        <w:tc>
          <w:tcPr>
            <w:tcW w:w="751" w:type="pct"/>
            <w:shd w:val="clear" w:color="auto" w:fill="auto"/>
            <w:vAlign w:val="center"/>
          </w:tcPr>
          <w:p w14:paraId="28471B31">
            <w:pPr>
              <w:widowControl/>
              <w:jc w:val="center"/>
              <w:rPr>
                <w:rFonts w:hint="eastAsia" w:ascii="宋体" w:hAnsi="宋体" w:cs="宋体"/>
                <w:kern w:val="0"/>
                <w:sz w:val="20"/>
                <w:szCs w:val="20"/>
              </w:rPr>
            </w:pPr>
            <w:r>
              <w:rPr>
                <w:rFonts w:hint="eastAsia" w:ascii="宋体" w:hAnsi="宋体" w:cs="宋体"/>
                <w:kern w:val="0"/>
                <w:sz w:val="20"/>
                <w:szCs w:val="20"/>
              </w:rPr>
              <w:t>&gt;=7人</w:t>
            </w:r>
          </w:p>
        </w:tc>
        <w:tc>
          <w:tcPr>
            <w:tcW w:w="831" w:type="pct"/>
            <w:shd w:val="clear" w:color="auto" w:fill="auto"/>
            <w:vAlign w:val="center"/>
          </w:tcPr>
          <w:p w14:paraId="4AEAEE82">
            <w:pPr>
              <w:widowControl/>
              <w:jc w:val="center"/>
              <w:rPr>
                <w:rFonts w:hint="eastAsia" w:ascii="宋体" w:hAnsi="宋体" w:cs="宋体"/>
                <w:kern w:val="0"/>
                <w:sz w:val="20"/>
                <w:szCs w:val="20"/>
              </w:rPr>
            </w:pPr>
            <w:r>
              <w:rPr>
                <w:rFonts w:hint="eastAsia" w:ascii="宋体" w:hAnsi="宋体" w:cs="宋体"/>
                <w:kern w:val="0"/>
                <w:sz w:val="20"/>
                <w:szCs w:val="20"/>
              </w:rPr>
              <w:t>中共木垒县委员会办公室木垒县人民政府办公室关于印发《木垒哈萨克自治县退役军人事务局职能配置、内设机构和人员编制规定》的通知</w:t>
            </w:r>
          </w:p>
        </w:tc>
        <w:tc>
          <w:tcPr>
            <w:tcW w:w="499" w:type="pct"/>
            <w:shd w:val="clear" w:color="auto" w:fill="auto"/>
            <w:vAlign w:val="center"/>
          </w:tcPr>
          <w:p w14:paraId="31CCC48C">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414" w:type="pct"/>
            <w:shd w:val="clear" w:color="auto" w:fill="auto"/>
            <w:vAlign w:val="center"/>
          </w:tcPr>
          <w:p w14:paraId="179D081A">
            <w:pPr>
              <w:widowControl/>
              <w:jc w:val="center"/>
              <w:rPr>
                <w:rFonts w:hint="eastAsia" w:ascii="宋体" w:hAnsi="宋体" w:cs="宋体"/>
                <w:kern w:val="0"/>
                <w:sz w:val="20"/>
                <w:szCs w:val="20"/>
              </w:rPr>
            </w:pPr>
            <w:r>
              <w:rPr>
                <w:rFonts w:hint="eastAsia" w:ascii="宋体" w:hAnsi="宋体" w:cs="宋体"/>
                <w:kern w:val="0"/>
                <w:sz w:val="20"/>
                <w:szCs w:val="20"/>
              </w:rPr>
              <w:t>8人</w:t>
            </w:r>
          </w:p>
        </w:tc>
        <w:tc>
          <w:tcPr>
            <w:tcW w:w="279" w:type="pct"/>
            <w:shd w:val="clear" w:color="auto" w:fill="auto"/>
            <w:vAlign w:val="center"/>
          </w:tcPr>
          <w:p w14:paraId="7E4C8DBB">
            <w:pPr>
              <w:widowControl/>
              <w:jc w:val="center"/>
              <w:rPr>
                <w:rFonts w:hint="eastAsia" w:ascii="宋体" w:hAnsi="宋体" w:cs="宋体"/>
                <w:kern w:val="0"/>
                <w:sz w:val="20"/>
                <w:szCs w:val="20"/>
              </w:rPr>
            </w:pPr>
            <w:r>
              <w:rPr>
                <w:rFonts w:hint="eastAsia" w:ascii="宋体" w:hAnsi="宋体" w:cs="宋体"/>
                <w:kern w:val="0"/>
                <w:sz w:val="20"/>
                <w:szCs w:val="20"/>
              </w:rPr>
              <w:t>10</w:t>
            </w:r>
          </w:p>
        </w:tc>
      </w:tr>
      <w:tr w14:paraId="503069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trPr>
        <w:tc>
          <w:tcPr>
            <w:tcW w:w="692" w:type="pct"/>
            <w:vMerge w:val="restart"/>
            <w:shd w:val="clear" w:color="auto" w:fill="auto"/>
            <w:vAlign w:val="center"/>
          </w:tcPr>
          <w:p w14:paraId="7030BD8C">
            <w:pPr>
              <w:widowControl/>
              <w:jc w:val="center"/>
              <w:rPr>
                <w:rFonts w:hint="eastAsia" w:ascii="宋体" w:hAnsi="宋体" w:cs="宋体"/>
                <w:kern w:val="0"/>
                <w:sz w:val="20"/>
                <w:szCs w:val="20"/>
              </w:rPr>
            </w:pPr>
            <w:r>
              <w:rPr>
                <w:rFonts w:hint="eastAsia" w:ascii="宋体" w:hAnsi="宋体" w:cs="宋体"/>
                <w:kern w:val="0"/>
                <w:sz w:val="20"/>
                <w:szCs w:val="20"/>
              </w:rPr>
              <w:t>管理效率</w:t>
            </w:r>
          </w:p>
        </w:tc>
        <w:tc>
          <w:tcPr>
            <w:tcW w:w="786" w:type="pct"/>
            <w:vMerge w:val="restart"/>
            <w:shd w:val="clear" w:color="auto" w:fill="auto"/>
            <w:vAlign w:val="center"/>
          </w:tcPr>
          <w:p w14:paraId="18E492C2">
            <w:pPr>
              <w:widowControl/>
              <w:jc w:val="center"/>
              <w:rPr>
                <w:rFonts w:hint="eastAsia" w:ascii="宋体" w:hAnsi="宋体" w:cs="宋体"/>
                <w:kern w:val="0"/>
                <w:sz w:val="20"/>
                <w:szCs w:val="20"/>
              </w:rPr>
            </w:pPr>
            <w:r>
              <w:rPr>
                <w:rFonts w:hint="eastAsia" w:ascii="宋体" w:hAnsi="宋体" w:cs="宋体"/>
                <w:kern w:val="0"/>
                <w:sz w:val="20"/>
                <w:szCs w:val="20"/>
              </w:rPr>
              <w:t>质量指标</w:t>
            </w:r>
          </w:p>
        </w:tc>
        <w:tc>
          <w:tcPr>
            <w:tcW w:w="748" w:type="pct"/>
            <w:shd w:val="clear" w:color="auto" w:fill="auto"/>
            <w:vAlign w:val="center"/>
          </w:tcPr>
          <w:p w14:paraId="13DEC95D">
            <w:pPr>
              <w:widowControl/>
              <w:jc w:val="center"/>
              <w:rPr>
                <w:rFonts w:hint="eastAsia" w:ascii="宋体" w:hAnsi="宋体" w:cs="宋体"/>
                <w:kern w:val="0"/>
                <w:sz w:val="20"/>
                <w:szCs w:val="20"/>
              </w:rPr>
            </w:pPr>
            <w:r>
              <w:rPr>
                <w:rFonts w:hint="eastAsia" w:ascii="宋体" w:hAnsi="宋体" w:cs="宋体"/>
                <w:kern w:val="0"/>
                <w:sz w:val="20"/>
                <w:szCs w:val="20"/>
              </w:rPr>
              <w:t>退役军人技能培训合格率</w:t>
            </w:r>
          </w:p>
        </w:tc>
        <w:tc>
          <w:tcPr>
            <w:tcW w:w="751" w:type="pct"/>
            <w:shd w:val="clear" w:color="auto" w:fill="auto"/>
            <w:vAlign w:val="center"/>
          </w:tcPr>
          <w:p w14:paraId="64DFA0B1">
            <w:pPr>
              <w:widowControl/>
              <w:jc w:val="center"/>
              <w:rPr>
                <w:rFonts w:hint="eastAsia" w:ascii="宋体" w:hAnsi="宋体" w:cs="宋体"/>
                <w:kern w:val="0"/>
                <w:sz w:val="20"/>
                <w:szCs w:val="20"/>
              </w:rPr>
            </w:pPr>
            <w:r>
              <w:rPr>
                <w:rFonts w:hint="eastAsia" w:ascii="宋体" w:hAnsi="宋体" w:cs="宋体"/>
                <w:kern w:val="0"/>
                <w:sz w:val="20"/>
                <w:szCs w:val="20"/>
              </w:rPr>
              <w:t>=100%</w:t>
            </w:r>
          </w:p>
        </w:tc>
        <w:tc>
          <w:tcPr>
            <w:tcW w:w="831" w:type="pct"/>
            <w:shd w:val="clear" w:color="auto" w:fill="auto"/>
            <w:vAlign w:val="center"/>
          </w:tcPr>
          <w:p w14:paraId="72249112">
            <w:pPr>
              <w:widowControl/>
              <w:jc w:val="center"/>
              <w:rPr>
                <w:rFonts w:hint="eastAsia" w:ascii="宋体" w:hAnsi="宋体" w:cs="宋体"/>
                <w:kern w:val="0"/>
                <w:sz w:val="20"/>
                <w:szCs w:val="20"/>
              </w:rPr>
            </w:pPr>
            <w:r>
              <w:rPr>
                <w:rFonts w:hint="eastAsia" w:ascii="宋体" w:hAnsi="宋体" w:cs="宋体"/>
                <w:kern w:val="0"/>
                <w:sz w:val="20"/>
                <w:szCs w:val="20"/>
              </w:rPr>
              <w:t>木垒县退役军人事务局2023年度工作计划及绩效考核指标</w:t>
            </w:r>
          </w:p>
        </w:tc>
        <w:tc>
          <w:tcPr>
            <w:tcW w:w="499" w:type="pct"/>
            <w:shd w:val="clear" w:color="auto" w:fill="auto"/>
            <w:vAlign w:val="center"/>
          </w:tcPr>
          <w:p w14:paraId="7FDE5985">
            <w:pPr>
              <w:widowControl/>
              <w:jc w:val="center"/>
              <w:rPr>
                <w:rFonts w:hint="eastAsia" w:ascii="宋体" w:hAnsi="宋体" w:cs="宋体"/>
                <w:kern w:val="0"/>
                <w:sz w:val="20"/>
                <w:szCs w:val="20"/>
              </w:rPr>
            </w:pPr>
            <w:r>
              <w:rPr>
                <w:rFonts w:hint="eastAsia" w:ascii="宋体" w:hAnsi="宋体" w:cs="宋体"/>
                <w:kern w:val="0"/>
                <w:sz w:val="20"/>
                <w:szCs w:val="20"/>
              </w:rPr>
              <w:t>5</w:t>
            </w:r>
          </w:p>
        </w:tc>
        <w:tc>
          <w:tcPr>
            <w:tcW w:w="414" w:type="pct"/>
            <w:shd w:val="clear" w:color="auto" w:fill="auto"/>
            <w:vAlign w:val="center"/>
          </w:tcPr>
          <w:p w14:paraId="101D386F">
            <w:pPr>
              <w:widowControl/>
              <w:jc w:val="center"/>
              <w:rPr>
                <w:rFonts w:hint="eastAsia" w:ascii="宋体" w:hAnsi="宋体" w:cs="宋体"/>
                <w:kern w:val="0"/>
                <w:sz w:val="20"/>
                <w:szCs w:val="20"/>
              </w:rPr>
            </w:pPr>
            <w:r>
              <w:rPr>
                <w:rFonts w:hint="eastAsia" w:ascii="宋体" w:hAnsi="宋体" w:cs="宋体"/>
                <w:kern w:val="0"/>
                <w:sz w:val="20"/>
                <w:szCs w:val="20"/>
              </w:rPr>
              <w:t>100%</w:t>
            </w:r>
          </w:p>
        </w:tc>
        <w:tc>
          <w:tcPr>
            <w:tcW w:w="279" w:type="pct"/>
            <w:shd w:val="clear" w:color="auto" w:fill="auto"/>
            <w:vAlign w:val="center"/>
          </w:tcPr>
          <w:p w14:paraId="4C0AAA34">
            <w:pPr>
              <w:widowControl/>
              <w:jc w:val="center"/>
              <w:rPr>
                <w:rFonts w:hint="eastAsia" w:ascii="宋体" w:hAnsi="宋体" w:cs="宋体"/>
                <w:kern w:val="0"/>
                <w:sz w:val="20"/>
                <w:szCs w:val="20"/>
              </w:rPr>
            </w:pPr>
            <w:r>
              <w:rPr>
                <w:rFonts w:hint="eastAsia" w:ascii="宋体" w:hAnsi="宋体" w:cs="宋体"/>
                <w:kern w:val="0"/>
                <w:sz w:val="20"/>
                <w:szCs w:val="20"/>
              </w:rPr>
              <w:t>5</w:t>
            </w:r>
          </w:p>
        </w:tc>
      </w:tr>
      <w:tr w14:paraId="13157A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trPr>
        <w:tc>
          <w:tcPr>
            <w:tcW w:w="692" w:type="pct"/>
            <w:vMerge w:val="continue"/>
            <w:vAlign w:val="center"/>
          </w:tcPr>
          <w:p w14:paraId="6C468114">
            <w:pPr>
              <w:widowControl/>
              <w:jc w:val="left"/>
              <w:rPr>
                <w:rFonts w:hint="eastAsia" w:ascii="宋体" w:hAnsi="宋体" w:cs="宋体"/>
                <w:kern w:val="0"/>
                <w:sz w:val="20"/>
                <w:szCs w:val="20"/>
              </w:rPr>
            </w:pPr>
          </w:p>
        </w:tc>
        <w:tc>
          <w:tcPr>
            <w:tcW w:w="786" w:type="pct"/>
            <w:vMerge w:val="continue"/>
            <w:vAlign w:val="center"/>
          </w:tcPr>
          <w:p w14:paraId="67D2BEDF">
            <w:pPr>
              <w:widowControl/>
              <w:jc w:val="left"/>
              <w:rPr>
                <w:rFonts w:hint="eastAsia" w:ascii="宋体" w:hAnsi="宋体" w:cs="宋体"/>
                <w:kern w:val="0"/>
                <w:sz w:val="20"/>
                <w:szCs w:val="20"/>
              </w:rPr>
            </w:pPr>
          </w:p>
        </w:tc>
        <w:tc>
          <w:tcPr>
            <w:tcW w:w="748" w:type="pct"/>
            <w:shd w:val="clear" w:color="auto" w:fill="auto"/>
            <w:vAlign w:val="center"/>
          </w:tcPr>
          <w:p w14:paraId="1AF14C5A">
            <w:pPr>
              <w:widowControl/>
              <w:jc w:val="center"/>
              <w:rPr>
                <w:rFonts w:hint="eastAsia" w:ascii="宋体" w:hAnsi="宋体" w:cs="宋体"/>
                <w:kern w:val="0"/>
                <w:sz w:val="20"/>
                <w:szCs w:val="20"/>
              </w:rPr>
            </w:pPr>
            <w:r>
              <w:rPr>
                <w:rFonts w:hint="eastAsia" w:ascii="宋体" w:hAnsi="宋体" w:cs="宋体"/>
                <w:kern w:val="0"/>
                <w:sz w:val="20"/>
                <w:szCs w:val="20"/>
              </w:rPr>
              <w:t>优抚对象生活补助资金到位率</w:t>
            </w:r>
          </w:p>
        </w:tc>
        <w:tc>
          <w:tcPr>
            <w:tcW w:w="751" w:type="pct"/>
            <w:shd w:val="clear" w:color="auto" w:fill="auto"/>
            <w:vAlign w:val="center"/>
          </w:tcPr>
          <w:p w14:paraId="360ADC48">
            <w:pPr>
              <w:widowControl/>
              <w:jc w:val="center"/>
              <w:rPr>
                <w:rFonts w:hint="eastAsia" w:ascii="宋体" w:hAnsi="宋体" w:cs="宋体"/>
                <w:kern w:val="0"/>
                <w:sz w:val="20"/>
                <w:szCs w:val="20"/>
              </w:rPr>
            </w:pPr>
            <w:r>
              <w:rPr>
                <w:rFonts w:hint="eastAsia" w:ascii="宋体" w:hAnsi="宋体" w:cs="宋体"/>
                <w:kern w:val="0"/>
                <w:sz w:val="20"/>
                <w:szCs w:val="20"/>
              </w:rPr>
              <w:t>=100%</w:t>
            </w:r>
          </w:p>
        </w:tc>
        <w:tc>
          <w:tcPr>
            <w:tcW w:w="831" w:type="pct"/>
            <w:shd w:val="clear" w:color="auto" w:fill="auto"/>
            <w:vAlign w:val="center"/>
          </w:tcPr>
          <w:p w14:paraId="59B189DA">
            <w:pPr>
              <w:widowControl/>
              <w:jc w:val="center"/>
              <w:rPr>
                <w:rFonts w:hint="eastAsia" w:ascii="宋体" w:hAnsi="宋体" w:cs="宋体"/>
                <w:kern w:val="0"/>
                <w:sz w:val="20"/>
                <w:szCs w:val="20"/>
              </w:rPr>
            </w:pPr>
            <w:r>
              <w:rPr>
                <w:rFonts w:hint="eastAsia" w:ascii="宋体" w:hAnsi="宋体" w:cs="宋体"/>
                <w:kern w:val="0"/>
                <w:sz w:val="20"/>
                <w:szCs w:val="20"/>
              </w:rPr>
              <w:t>木垒县退役军人事务局2023年度工作计划及绩效考核指标</w:t>
            </w:r>
          </w:p>
        </w:tc>
        <w:tc>
          <w:tcPr>
            <w:tcW w:w="499" w:type="pct"/>
            <w:shd w:val="clear" w:color="auto" w:fill="auto"/>
            <w:vAlign w:val="center"/>
          </w:tcPr>
          <w:p w14:paraId="0B0245EB">
            <w:pPr>
              <w:widowControl/>
              <w:jc w:val="center"/>
              <w:rPr>
                <w:rFonts w:hint="eastAsia" w:ascii="宋体" w:hAnsi="宋体" w:cs="宋体"/>
                <w:kern w:val="0"/>
                <w:sz w:val="20"/>
                <w:szCs w:val="20"/>
              </w:rPr>
            </w:pPr>
            <w:r>
              <w:rPr>
                <w:rFonts w:hint="eastAsia" w:ascii="宋体" w:hAnsi="宋体" w:cs="宋体"/>
                <w:kern w:val="0"/>
                <w:sz w:val="20"/>
                <w:szCs w:val="20"/>
              </w:rPr>
              <w:t>5</w:t>
            </w:r>
          </w:p>
        </w:tc>
        <w:tc>
          <w:tcPr>
            <w:tcW w:w="414" w:type="pct"/>
            <w:shd w:val="clear" w:color="auto" w:fill="auto"/>
            <w:vAlign w:val="center"/>
          </w:tcPr>
          <w:p w14:paraId="7140F40D">
            <w:pPr>
              <w:widowControl/>
              <w:jc w:val="center"/>
              <w:rPr>
                <w:rFonts w:hint="eastAsia" w:ascii="宋体" w:hAnsi="宋体" w:cs="宋体"/>
                <w:kern w:val="0"/>
                <w:sz w:val="20"/>
                <w:szCs w:val="20"/>
              </w:rPr>
            </w:pPr>
            <w:r>
              <w:rPr>
                <w:rFonts w:hint="eastAsia" w:ascii="宋体" w:hAnsi="宋体" w:cs="宋体"/>
                <w:kern w:val="0"/>
                <w:sz w:val="20"/>
                <w:szCs w:val="20"/>
              </w:rPr>
              <w:t>100%</w:t>
            </w:r>
          </w:p>
        </w:tc>
        <w:tc>
          <w:tcPr>
            <w:tcW w:w="279" w:type="pct"/>
            <w:shd w:val="clear" w:color="auto" w:fill="auto"/>
            <w:vAlign w:val="center"/>
          </w:tcPr>
          <w:p w14:paraId="63DF92F4">
            <w:pPr>
              <w:widowControl/>
              <w:jc w:val="center"/>
              <w:rPr>
                <w:rFonts w:hint="eastAsia" w:ascii="宋体" w:hAnsi="宋体" w:cs="宋体"/>
                <w:kern w:val="0"/>
                <w:sz w:val="20"/>
                <w:szCs w:val="20"/>
              </w:rPr>
            </w:pPr>
            <w:r>
              <w:rPr>
                <w:rFonts w:hint="eastAsia" w:ascii="宋体" w:hAnsi="宋体" w:cs="宋体"/>
                <w:kern w:val="0"/>
                <w:sz w:val="20"/>
                <w:szCs w:val="20"/>
              </w:rPr>
              <w:t>5</w:t>
            </w:r>
          </w:p>
        </w:tc>
      </w:tr>
      <w:tr w14:paraId="2FAFBE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trPr>
        <w:tc>
          <w:tcPr>
            <w:tcW w:w="692" w:type="pct"/>
            <w:vMerge w:val="restart"/>
            <w:shd w:val="clear" w:color="auto" w:fill="auto"/>
            <w:vAlign w:val="center"/>
          </w:tcPr>
          <w:p w14:paraId="3A13D97E">
            <w:pPr>
              <w:widowControl/>
              <w:jc w:val="center"/>
              <w:rPr>
                <w:rFonts w:hint="eastAsia" w:ascii="宋体" w:hAnsi="宋体" w:cs="宋体"/>
                <w:kern w:val="0"/>
                <w:sz w:val="20"/>
                <w:szCs w:val="20"/>
              </w:rPr>
            </w:pPr>
            <w:r>
              <w:rPr>
                <w:rFonts w:hint="eastAsia" w:ascii="宋体" w:hAnsi="宋体" w:cs="宋体"/>
                <w:kern w:val="0"/>
                <w:sz w:val="20"/>
                <w:szCs w:val="20"/>
              </w:rPr>
              <w:t>履职效能</w:t>
            </w:r>
          </w:p>
        </w:tc>
        <w:tc>
          <w:tcPr>
            <w:tcW w:w="786" w:type="pct"/>
            <w:vMerge w:val="restart"/>
            <w:shd w:val="clear" w:color="auto" w:fill="auto"/>
            <w:vAlign w:val="center"/>
          </w:tcPr>
          <w:p w14:paraId="268B8F44">
            <w:pPr>
              <w:widowControl/>
              <w:jc w:val="center"/>
              <w:rPr>
                <w:rFonts w:hint="eastAsia" w:ascii="宋体" w:hAnsi="宋体" w:cs="宋体"/>
                <w:kern w:val="0"/>
                <w:sz w:val="20"/>
                <w:szCs w:val="20"/>
              </w:rPr>
            </w:pPr>
            <w:r>
              <w:rPr>
                <w:rFonts w:hint="eastAsia" w:ascii="宋体" w:hAnsi="宋体" w:cs="宋体"/>
                <w:kern w:val="0"/>
                <w:sz w:val="20"/>
                <w:szCs w:val="20"/>
              </w:rPr>
              <w:t>数量指标</w:t>
            </w:r>
          </w:p>
        </w:tc>
        <w:tc>
          <w:tcPr>
            <w:tcW w:w="748" w:type="pct"/>
            <w:shd w:val="clear" w:color="auto" w:fill="auto"/>
            <w:vAlign w:val="center"/>
          </w:tcPr>
          <w:p w14:paraId="5303EB09">
            <w:pPr>
              <w:widowControl/>
              <w:jc w:val="center"/>
              <w:rPr>
                <w:rFonts w:hint="eastAsia" w:ascii="宋体" w:hAnsi="宋体" w:cs="宋体"/>
                <w:kern w:val="0"/>
                <w:sz w:val="20"/>
                <w:szCs w:val="20"/>
              </w:rPr>
            </w:pPr>
            <w:r>
              <w:rPr>
                <w:rFonts w:hint="eastAsia" w:ascii="宋体" w:hAnsi="宋体" w:cs="宋体"/>
                <w:kern w:val="0"/>
                <w:sz w:val="20"/>
                <w:szCs w:val="20"/>
              </w:rPr>
              <w:t>打造退役军人（双拥）志愿服务队数量</w:t>
            </w:r>
          </w:p>
        </w:tc>
        <w:tc>
          <w:tcPr>
            <w:tcW w:w="751" w:type="pct"/>
            <w:shd w:val="clear" w:color="auto" w:fill="auto"/>
            <w:vAlign w:val="center"/>
          </w:tcPr>
          <w:p w14:paraId="585C8F1C">
            <w:pPr>
              <w:widowControl/>
              <w:jc w:val="center"/>
              <w:rPr>
                <w:rFonts w:hint="eastAsia" w:ascii="宋体" w:hAnsi="宋体" w:cs="宋体"/>
                <w:kern w:val="0"/>
                <w:sz w:val="20"/>
                <w:szCs w:val="20"/>
              </w:rPr>
            </w:pPr>
            <w:r>
              <w:rPr>
                <w:rFonts w:hint="eastAsia" w:ascii="宋体" w:hAnsi="宋体" w:cs="宋体"/>
                <w:kern w:val="0"/>
                <w:sz w:val="20"/>
                <w:szCs w:val="20"/>
              </w:rPr>
              <w:t>&gt;=2个</w:t>
            </w:r>
          </w:p>
        </w:tc>
        <w:tc>
          <w:tcPr>
            <w:tcW w:w="831" w:type="pct"/>
            <w:shd w:val="clear" w:color="auto" w:fill="auto"/>
            <w:vAlign w:val="center"/>
          </w:tcPr>
          <w:p w14:paraId="71EB1304">
            <w:pPr>
              <w:widowControl/>
              <w:jc w:val="center"/>
              <w:rPr>
                <w:rFonts w:hint="eastAsia" w:ascii="宋体" w:hAnsi="宋体" w:cs="宋体"/>
                <w:kern w:val="0"/>
                <w:sz w:val="20"/>
                <w:szCs w:val="20"/>
              </w:rPr>
            </w:pPr>
            <w:r>
              <w:rPr>
                <w:rFonts w:hint="eastAsia" w:ascii="宋体" w:hAnsi="宋体" w:cs="宋体"/>
                <w:kern w:val="0"/>
                <w:sz w:val="20"/>
                <w:szCs w:val="20"/>
              </w:rPr>
              <w:t>木垒县退役军人事务局2023年度工作计划及绩效考核指标</w:t>
            </w:r>
          </w:p>
        </w:tc>
        <w:tc>
          <w:tcPr>
            <w:tcW w:w="499" w:type="pct"/>
            <w:shd w:val="clear" w:color="auto" w:fill="auto"/>
            <w:vAlign w:val="center"/>
          </w:tcPr>
          <w:p w14:paraId="6245653B">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414" w:type="pct"/>
            <w:shd w:val="clear" w:color="auto" w:fill="auto"/>
            <w:vAlign w:val="center"/>
          </w:tcPr>
          <w:p w14:paraId="1B496E1D">
            <w:pPr>
              <w:widowControl/>
              <w:jc w:val="center"/>
              <w:rPr>
                <w:rFonts w:hint="eastAsia" w:ascii="宋体" w:hAnsi="宋体" w:cs="宋体"/>
                <w:kern w:val="0"/>
                <w:sz w:val="20"/>
                <w:szCs w:val="20"/>
              </w:rPr>
            </w:pPr>
            <w:r>
              <w:rPr>
                <w:rFonts w:hint="eastAsia" w:ascii="宋体" w:hAnsi="宋体" w:cs="宋体"/>
                <w:kern w:val="0"/>
                <w:sz w:val="20"/>
                <w:szCs w:val="20"/>
              </w:rPr>
              <w:t>2个</w:t>
            </w:r>
          </w:p>
        </w:tc>
        <w:tc>
          <w:tcPr>
            <w:tcW w:w="279" w:type="pct"/>
            <w:shd w:val="clear" w:color="auto" w:fill="auto"/>
            <w:vAlign w:val="center"/>
          </w:tcPr>
          <w:p w14:paraId="6B1214AA">
            <w:pPr>
              <w:widowControl/>
              <w:jc w:val="center"/>
              <w:rPr>
                <w:rFonts w:hint="eastAsia" w:ascii="宋体" w:hAnsi="宋体" w:cs="宋体"/>
                <w:kern w:val="0"/>
                <w:sz w:val="20"/>
                <w:szCs w:val="20"/>
              </w:rPr>
            </w:pPr>
            <w:r>
              <w:rPr>
                <w:rFonts w:hint="eastAsia" w:ascii="宋体" w:hAnsi="宋体" w:cs="宋体"/>
                <w:kern w:val="0"/>
                <w:sz w:val="20"/>
                <w:szCs w:val="20"/>
              </w:rPr>
              <w:t>10</w:t>
            </w:r>
          </w:p>
        </w:tc>
      </w:tr>
      <w:tr w14:paraId="06AC6E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trPr>
        <w:tc>
          <w:tcPr>
            <w:tcW w:w="692" w:type="pct"/>
            <w:vMerge w:val="continue"/>
            <w:vAlign w:val="center"/>
          </w:tcPr>
          <w:p w14:paraId="042E5715">
            <w:pPr>
              <w:widowControl/>
              <w:jc w:val="left"/>
              <w:rPr>
                <w:rFonts w:hint="eastAsia" w:ascii="宋体" w:hAnsi="宋体" w:cs="宋体"/>
                <w:kern w:val="0"/>
                <w:sz w:val="20"/>
                <w:szCs w:val="20"/>
              </w:rPr>
            </w:pPr>
          </w:p>
        </w:tc>
        <w:tc>
          <w:tcPr>
            <w:tcW w:w="786" w:type="pct"/>
            <w:vMerge w:val="continue"/>
            <w:vAlign w:val="center"/>
          </w:tcPr>
          <w:p w14:paraId="00CF8006">
            <w:pPr>
              <w:widowControl/>
              <w:jc w:val="left"/>
              <w:rPr>
                <w:rFonts w:hint="eastAsia" w:ascii="宋体" w:hAnsi="宋体" w:cs="宋体"/>
                <w:kern w:val="0"/>
                <w:sz w:val="20"/>
                <w:szCs w:val="20"/>
              </w:rPr>
            </w:pPr>
          </w:p>
        </w:tc>
        <w:tc>
          <w:tcPr>
            <w:tcW w:w="748" w:type="pct"/>
            <w:shd w:val="clear" w:color="auto" w:fill="auto"/>
            <w:vAlign w:val="center"/>
          </w:tcPr>
          <w:p w14:paraId="336F0CEB">
            <w:pPr>
              <w:widowControl/>
              <w:jc w:val="center"/>
              <w:rPr>
                <w:rFonts w:hint="eastAsia" w:ascii="宋体" w:hAnsi="宋体" w:cs="宋体"/>
                <w:kern w:val="0"/>
                <w:sz w:val="20"/>
                <w:szCs w:val="20"/>
              </w:rPr>
            </w:pPr>
            <w:r>
              <w:rPr>
                <w:rFonts w:hint="eastAsia" w:ascii="宋体" w:hAnsi="宋体" w:cs="宋体"/>
                <w:kern w:val="0"/>
                <w:sz w:val="20"/>
                <w:szCs w:val="20"/>
              </w:rPr>
              <w:t>开展拥军优属活动次数</w:t>
            </w:r>
          </w:p>
        </w:tc>
        <w:tc>
          <w:tcPr>
            <w:tcW w:w="751" w:type="pct"/>
            <w:shd w:val="clear" w:color="auto" w:fill="auto"/>
            <w:vAlign w:val="center"/>
          </w:tcPr>
          <w:p w14:paraId="464F69B1">
            <w:pPr>
              <w:widowControl/>
              <w:jc w:val="center"/>
              <w:rPr>
                <w:rFonts w:hint="eastAsia" w:ascii="宋体" w:hAnsi="宋体" w:cs="宋体"/>
                <w:kern w:val="0"/>
                <w:sz w:val="20"/>
                <w:szCs w:val="20"/>
              </w:rPr>
            </w:pPr>
            <w:r>
              <w:rPr>
                <w:rFonts w:hint="eastAsia" w:ascii="宋体" w:hAnsi="宋体" w:cs="宋体"/>
                <w:kern w:val="0"/>
                <w:sz w:val="20"/>
                <w:szCs w:val="20"/>
              </w:rPr>
              <w:t>&gt;=2次</w:t>
            </w:r>
          </w:p>
        </w:tc>
        <w:tc>
          <w:tcPr>
            <w:tcW w:w="831" w:type="pct"/>
            <w:shd w:val="clear" w:color="auto" w:fill="auto"/>
            <w:vAlign w:val="center"/>
          </w:tcPr>
          <w:p w14:paraId="6F9673DE">
            <w:pPr>
              <w:widowControl/>
              <w:jc w:val="center"/>
              <w:rPr>
                <w:rFonts w:hint="eastAsia" w:ascii="宋体" w:hAnsi="宋体" w:cs="宋体"/>
                <w:kern w:val="0"/>
                <w:sz w:val="20"/>
                <w:szCs w:val="20"/>
              </w:rPr>
            </w:pPr>
            <w:r>
              <w:rPr>
                <w:rFonts w:hint="eastAsia" w:ascii="宋体" w:hAnsi="宋体" w:cs="宋体"/>
                <w:kern w:val="0"/>
                <w:sz w:val="20"/>
                <w:szCs w:val="20"/>
              </w:rPr>
              <w:t>木垒县退役军人事务局2023年度工作计划及绩效考核指标</w:t>
            </w:r>
          </w:p>
        </w:tc>
        <w:tc>
          <w:tcPr>
            <w:tcW w:w="499" w:type="pct"/>
            <w:shd w:val="clear" w:color="auto" w:fill="auto"/>
            <w:vAlign w:val="center"/>
          </w:tcPr>
          <w:p w14:paraId="79E7F598">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414" w:type="pct"/>
            <w:shd w:val="clear" w:color="auto" w:fill="auto"/>
            <w:vAlign w:val="center"/>
          </w:tcPr>
          <w:p w14:paraId="52C5C26D">
            <w:pPr>
              <w:widowControl/>
              <w:jc w:val="center"/>
              <w:rPr>
                <w:rFonts w:hint="eastAsia" w:ascii="宋体" w:hAnsi="宋体" w:cs="宋体"/>
                <w:kern w:val="0"/>
                <w:sz w:val="20"/>
                <w:szCs w:val="20"/>
              </w:rPr>
            </w:pPr>
            <w:r>
              <w:rPr>
                <w:rFonts w:hint="eastAsia" w:ascii="宋体" w:hAnsi="宋体" w:cs="宋体"/>
                <w:kern w:val="0"/>
                <w:sz w:val="20"/>
                <w:szCs w:val="20"/>
              </w:rPr>
              <w:t>2次</w:t>
            </w:r>
          </w:p>
        </w:tc>
        <w:tc>
          <w:tcPr>
            <w:tcW w:w="279" w:type="pct"/>
            <w:shd w:val="clear" w:color="auto" w:fill="auto"/>
            <w:vAlign w:val="center"/>
          </w:tcPr>
          <w:p w14:paraId="07C0B355">
            <w:pPr>
              <w:widowControl/>
              <w:jc w:val="center"/>
              <w:rPr>
                <w:rFonts w:hint="eastAsia" w:ascii="宋体" w:hAnsi="宋体" w:cs="宋体"/>
                <w:kern w:val="0"/>
                <w:sz w:val="20"/>
                <w:szCs w:val="20"/>
              </w:rPr>
            </w:pPr>
            <w:r>
              <w:rPr>
                <w:rFonts w:hint="eastAsia" w:ascii="宋体" w:hAnsi="宋体" w:cs="宋体"/>
                <w:kern w:val="0"/>
                <w:sz w:val="20"/>
                <w:szCs w:val="20"/>
              </w:rPr>
              <w:t>10</w:t>
            </w:r>
          </w:p>
        </w:tc>
      </w:tr>
      <w:tr w14:paraId="4FC44E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trPr>
        <w:tc>
          <w:tcPr>
            <w:tcW w:w="692" w:type="pct"/>
            <w:vMerge w:val="continue"/>
            <w:vAlign w:val="center"/>
          </w:tcPr>
          <w:p w14:paraId="200FDF62">
            <w:pPr>
              <w:widowControl/>
              <w:jc w:val="left"/>
              <w:rPr>
                <w:rFonts w:hint="eastAsia" w:ascii="宋体" w:hAnsi="宋体" w:cs="宋体"/>
                <w:kern w:val="0"/>
                <w:sz w:val="20"/>
                <w:szCs w:val="20"/>
              </w:rPr>
            </w:pPr>
          </w:p>
        </w:tc>
        <w:tc>
          <w:tcPr>
            <w:tcW w:w="786" w:type="pct"/>
            <w:vMerge w:val="restart"/>
            <w:shd w:val="clear" w:color="auto" w:fill="auto"/>
            <w:vAlign w:val="center"/>
          </w:tcPr>
          <w:p w14:paraId="1BF9658E">
            <w:pPr>
              <w:widowControl/>
              <w:jc w:val="center"/>
              <w:rPr>
                <w:rFonts w:hint="eastAsia" w:ascii="宋体" w:hAnsi="宋体" w:cs="宋体"/>
                <w:kern w:val="0"/>
                <w:sz w:val="20"/>
                <w:szCs w:val="20"/>
              </w:rPr>
            </w:pPr>
            <w:r>
              <w:rPr>
                <w:rFonts w:hint="eastAsia" w:ascii="宋体" w:hAnsi="宋体" w:cs="宋体"/>
                <w:kern w:val="0"/>
                <w:sz w:val="20"/>
                <w:szCs w:val="20"/>
              </w:rPr>
              <w:t>质量指标</w:t>
            </w:r>
          </w:p>
        </w:tc>
        <w:tc>
          <w:tcPr>
            <w:tcW w:w="748" w:type="pct"/>
            <w:shd w:val="clear" w:color="auto" w:fill="auto"/>
            <w:vAlign w:val="center"/>
          </w:tcPr>
          <w:p w14:paraId="49B9BFD8">
            <w:pPr>
              <w:widowControl/>
              <w:jc w:val="center"/>
              <w:rPr>
                <w:rFonts w:hint="eastAsia" w:ascii="宋体" w:hAnsi="宋体" w:cs="宋体"/>
                <w:kern w:val="0"/>
                <w:sz w:val="20"/>
                <w:szCs w:val="20"/>
              </w:rPr>
            </w:pPr>
            <w:r>
              <w:rPr>
                <w:rFonts w:hint="eastAsia" w:ascii="宋体" w:hAnsi="宋体" w:cs="宋体"/>
                <w:kern w:val="0"/>
                <w:sz w:val="20"/>
                <w:szCs w:val="20"/>
              </w:rPr>
              <w:t>处理退役军人来信来访及接待退役军人来访率</w:t>
            </w:r>
          </w:p>
        </w:tc>
        <w:tc>
          <w:tcPr>
            <w:tcW w:w="751" w:type="pct"/>
            <w:shd w:val="clear" w:color="auto" w:fill="auto"/>
            <w:vAlign w:val="center"/>
          </w:tcPr>
          <w:p w14:paraId="76019157">
            <w:pPr>
              <w:widowControl/>
              <w:jc w:val="center"/>
              <w:rPr>
                <w:rFonts w:hint="eastAsia" w:ascii="宋体" w:hAnsi="宋体" w:cs="宋体"/>
                <w:kern w:val="0"/>
                <w:sz w:val="20"/>
                <w:szCs w:val="20"/>
              </w:rPr>
            </w:pPr>
            <w:r>
              <w:rPr>
                <w:rFonts w:hint="eastAsia" w:ascii="宋体" w:hAnsi="宋体" w:cs="宋体"/>
                <w:kern w:val="0"/>
                <w:sz w:val="20"/>
                <w:szCs w:val="20"/>
              </w:rPr>
              <w:t>=100%</w:t>
            </w:r>
          </w:p>
        </w:tc>
        <w:tc>
          <w:tcPr>
            <w:tcW w:w="831" w:type="pct"/>
            <w:shd w:val="clear" w:color="auto" w:fill="auto"/>
            <w:vAlign w:val="center"/>
          </w:tcPr>
          <w:p w14:paraId="3531A893">
            <w:pPr>
              <w:widowControl/>
              <w:jc w:val="center"/>
              <w:rPr>
                <w:rFonts w:hint="eastAsia" w:ascii="宋体" w:hAnsi="宋体" w:cs="宋体"/>
                <w:kern w:val="0"/>
                <w:sz w:val="20"/>
                <w:szCs w:val="20"/>
              </w:rPr>
            </w:pPr>
            <w:r>
              <w:rPr>
                <w:rFonts w:hint="eastAsia" w:ascii="宋体" w:hAnsi="宋体" w:cs="宋体"/>
                <w:kern w:val="0"/>
                <w:sz w:val="20"/>
                <w:szCs w:val="20"/>
              </w:rPr>
              <w:t>木垒县退役军人事务局2023年度工作计划及绩效考核指标</w:t>
            </w:r>
          </w:p>
        </w:tc>
        <w:tc>
          <w:tcPr>
            <w:tcW w:w="499" w:type="pct"/>
            <w:shd w:val="clear" w:color="auto" w:fill="auto"/>
            <w:vAlign w:val="center"/>
          </w:tcPr>
          <w:p w14:paraId="4D1CCD84">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414" w:type="pct"/>
            <w:shd w:val="clear" w:color="auto" w:fill="auto"/>
            <w:vAlign w:val="center"/>
          </w:tcPr>
          <w:p w14:paraId="6505310B">
            <w:pPr>
              <w:widowControl/>
              <w:jc w:val="center"/>
              <w:rPr>
                <w:rFonts w:hint="eastAsia" w:ascii="宋体" w:hAnsi="宋体" w:cs="宋体"/>
                <w:kern w:val="0"/>
                <w:sz w:val="20"/>
                <w:szCs w:val="20"/>
              </w:rPr>
            </w:pPr>
            <w:r>
              <w:rPr>
                <w:rFonts w:hint="eastAsia" w:ascii="宋体" w:hAnsi="宋体" w:cs="宋体"/>
                <w:kern w:val="0"/>
                <w:sz w:val="20"/>
                <w:szCs w:val="20"/>
              </w:rPr>
              <w:t>100%</w:t>
            </w:r>
          </w:p>
        </w:tc>
        <w:tc>
          <w:tcPr>
            <w:tcW w:w="279" w:type="pct"/>
            <w:shd w:val="clear" w:color="auto" w:fill="auto"/>
            <w:vAlign w:val="center"/>
          </w:tcPr>
          <w:p w14:paraId="13376903">
            <w:pPr>
              <w:widowControl/>
              <w:jc w:val="center"/>
              <w:rPr>
                <w:rFonts w:hint="eastAsia" w:ascii="宋体" w:hAnsi="宋体" w:cs="宋体"/>
                <w:kern w:val="0"/>
                <w:sz w:val="20"/>
                <w:szCs w:val="20"/>
              </w:rPr>
            </w:pPr>
            <w:r>
              <w:rPr>
                <w:rFonts w:hint="eastAsia" w:ascii="宋体" w:hAnsi="宋体" w:cs="宋体"/>
                <w:kern w:val="0"/>
                <w:sz w:val="20"/>
                <w:szCs w:val="20"/>
              </w:rPr>
              <w:t>10</w:t>
            </w:r>
          </w:p>
        </w:tc>
      </w:tr>
      <w:tr w14:paraId="68BE8A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trPr>
        <w:tc>
          <w:tcPr>
            <w:tcW w:w="692" w:type="pct"/>
            <w:vMerge w:val="continue"/>
            <w:vAlign w:val="center"/>
          </w:tcPr>
          <w:p w14:paraId="390F65CA">
            <w:pPr>
              <w:widowControl/>
              <w:jc w:val="left"/>
              <w:rPr>
                <w:rFonts w:hint="eastAsia" w:ascii="宋体" w:hAnsi="宋体" w:cs="宋体"/>
                <w:kern w:val="0"/>
                <w:sz w:val="20"/>
                <w:szCs w:val="20"/>
              </w:rPr>
            </w:pPr>
          </w:p>
        </w:tc>
        <w:tc>
          <w:tcPr>
            <w:tcW w:w="786" w:type="pct"/>
            <w:vMerge w:val="continue"/>
            <w:vAlign w:val="center"/>
          </w:tcPr>
          <w:p w14:paraId="1EC0B806">
            <w:pPr>
              <w:widowControl/>
              <w:jc w:val="left"/>
              <w:rPr>
                <w:rFonts w:hint="eastAsia" w:ascii="宋体" w:hAnsi="宋体" w:cs="宋体"/>
                <w:kern w:val="0"/>
                <w:sz w:val="20"/>
                <w:szCs w:val="20"/>
              </w:rPr>
            </w:pPr>
          </w:p>
        </w:tc>
        <w:tc>
          <w:tcPr>
            <w:tcW w:w="748" w:type="pct"/>
            <w:shd w:val="clear" w:color="auto" w:fill="auto"/>
            <w:noWrap/>
            <w:vAlign w:val="center"/>
          </w:tcPr>
          <w:p w14:paraId="62607626">
            <w:pPr>
              <w:widowControl/>
              <w:jc w:val="left"/>
              <w:rPr>
                <w:rFonts w:hint="eastAsia" w:ascii="宋体" w:hAnsi="宋体" w:cs="宋体"/>
                <w:kern w:val="0"/>
                <w:sz w:val="20"/>
                <w:szCs w:val="20"/>
              </w:rPr>
            </w:pPr>
            <w:r>
              <w:rPr>
                <w:rFonts w:hint="eastAsia" w:ascii="宋体" w:hAnsi="宋体" w:cs="宋体"/>
                <w:kern w:val="0"/>
                <w:sz w:val="20"/>
                <w:szCs w:val="20"/>
              </w:rPr>
              <w:t>立功受奖送喜报到位率</w:t>
            </w:r>
          </w:p>
        </w:tc>
        <w:tc>
          <w:tcPr>
            <w:tcW w:w="751" w:type="pct"/>
            <w:shd w:val="clear" w:color="auto" w:fill="auto"/>
            <w:noWrap/>
            <w:vAlign w:val="center"/>
          </w:tcPr>
          <w:p w14:paraId="29A183F2">
            <w:pPr>
              <w:widowControl/>
              <w:jc w:val="left"/>
              <w:rPr>
                <w:rFonts w:hint="eastAsia" w:ascii="宋体" w:hAnsi="宋体" w:cs="宋体"/>
                <w:kern w:val="0"/>
                <w:sz w:val="20"/>
                <w:szCs w:val="20"/>
              </w:rPr>
            </w:pPr>
            <w:r>
              <w:rPr>
                <w:rFonts w:hint="eastAsia" w:ascii="宋体" w:hAnsi="宋体" w:cs="宋体"/>
                <w:kern w:val="0"/>
                <w:sz w:val="20"/>
                <w:szCs w:val="20"/>
              </w:rPr>
              <w:t>=100%</w:t>
            </w:r>
          </w:p>
        </w:tc>
        <w:tc>
          <w:tcPr>
            <w:tcW w:w="831" w:type="pct"/>
            <w:shd w:val="clear" w:color="auto" w:fill="auto"/>
            <w:noWrap/>
            <w:vAlign w:val="center"/>
          </w:tcPr>
          <w:p w14:paraId="344FA339">
            <w:pPr>
              <w:widowControl/>
              <w:jc w:val="left"/>
              <w:rPr>
                <w:rFonts w:hint="eastAsia" w:ascii="宋体" w:hAnsi="宋体" w:cs="宋体"/>
                <w:kern w:val="0"/>
                <w:sz w:val="20"/>
                <w:szCs w:val="20"/>
              </w:rPr>
            </w:pPr>
            <w:r>
              <w:rPr>
                <w:rFonts w:hint="eastAsia" w:ascii="宋体" w:hAnsi="宋体" w:cs="宋体"/>
                <w:kern w:val="0"/>
                <w:sz w:val="20"/>
                <w:szCs w:val="20"/>
              </w:rPr>
              <w:t>木垒县退役军人事务局2023年度工作计划及绩效考核指标</w:t>
            </w:r>
          </w:p>
        </w:tc>
        <w:tc>
          <w:tcPr>
            <w:tcW w:w="499" w:type="pct"/>
            <w:shd w:val="clear" w:color="auto" w:fill="auto"/>
            <w:noWrap/>
            <w:vAlign w:val="center"/>
          </w:tcPr>
          <w:p w14:paraId="6E35800B">
            <w:pPr>
              <w:widowControl/>
              <w:jc w:val="left"/>
              <w:rPr>
                <w:rFonts w:hint="eastAsia" w:ascii="宋体" w:hAnsi="宋体" w:cs="宋体"/>
                <w:kern w:val="0"/>
                <w:sz w:val="20"/>
                <w:szCs w:val="20"/>
              </w:rPr>
            </w:pPr>
            <w:r>
              <w:rPr>
                <w:rFonts w:hint="eastAsia" w:ascii="宋体" w:hAnsi="宋体" w:cs="宋体"/>
                <w:kern w:val="0"/>
                <w:sz w:val="20"/>
                <w:szCs w:val="20"/>
              </w:rPr>
              <w:t>10</w:t>
            </w:r>
          </w:p>
        </w:tc>
        <w:tc>
          <w:tcPr>
            <w:tcW w:w="414" w:type="pct"/>
            <w:shd w:val="clear" w:color="auto" w:fill="auto"/>
            <w:noWrap/>
            <w:vAlign w:val="center"/>
          </w:tcPr>
          <w:p w14:paraId="157E2AFF">
            <w:pPr>
              <w:widowControl/>
              <w:jc w:val="left"/>
              <w:rPr>
                <w:rFonts w:hint="eastAsia" w:ascii="宋体" w:hAnsi="宋体" w:cs="宋体"/>
                <w:kern w:val="0"/>
                <w:sz w:val="20"/>
                <w:szCs w:val="20"/>
              </w:rPr>
            </w:pPr>
            <w:r>
              <w:rPr>
                <w:rFonts w:hint="eastAsia" w:ascii="宋体" w:hAnsi="宋体" w:cs="宋体"/>
                <w:kern w:val="0"/>
                <w:sz w:val="20"/>
                <w:szCs w:val="20"/>
              </w:rPr>
              <w:t>100%</w:t>
            </w:r>
          </w:p>
        </w:tc>
        <w:tc>
          <w:tcPr>
            <w:tcW w:w="279" w:type="pct"/>
            <w:shd w:val="clear" w:color="auto" w:fill="auto"/>
            <w:noWrap/>
            <w:vAlign w:val="center"/>
          </w:tcPr>
          <w:p w14:paraId="24443C00">
            <w:pPr>
              <w:widowControl/>
              <w:jc w:val="left"/>
              <w:rPr>
                <w:rFonts w:hint="eastAsia" w:ascii="宋体" w:hAnsi="宋体" w:cs="宋体"/>
                <w:kern w:val="0"/>
                <w:sz w:val="20"/>
                <w:szCs w:val="20"/>
              </w:rPr>
            </w:pPr>
            <w:r>
              <w:rPr>
                <w:rFonts w:hint="eastAsia" w:ascii="宋体" w:hAnsi="宋体" w:cs="宋体"/>
                <w:kern w:val="0"/>
                <w:sz w:val="20"/>
                <w:szCs w:val="20"/>
              </w:rPr>
              <w:t>10</w:t>
            </w:r>
          </w:p>
        </w:tc>
      </w:tr>
      <w:tr w14:paraId="62784D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trPr>
        <w:tc>
          <w:tcPr>
            <w:tcW w:w="692" w:type="pct"/>
            <w:vMerge w:val="continue"/>
            <w:vAlign w:val="center"/>
          </w:tcPr>
          <w:p w14:paraId="70DF4976">
            <w:pPr>
              <w:widowControl/>
              <w:jc w:val="left"/>
              <w:rPr>
                <w:rFonts w:hint="eastAsia" w:ascii="宋体" w:hAnsi="宋体" w:cs="宋体"/>
                <w:kern w:val="0"/>
                <w:sz w:val="20"/>
                <w:szCs w:val="20"/>
              </w:rPr>
            </w:pPr>
          </w:p>
        </w:tc>
        <w:tc>
          <w:tcPr>
            <w:tcW w:w="786" w:type="pct"/>
            <w:vMerge w:val="continue"/>
            <w:vAlign w:val="center"/>
          </w:tcPr>
          <w:p w14:paraId="41122B27">
            <w:pPr>
              <w:widowControl/>
              <w:jc w:val="left"/>
              <w:rPr>
                <w:rFonts w:hint="eastAsia" w:ascii="宋体" w:hAnsi="宋体" w:cs="宋体"/>
                <w:kern w:val="0"/>
                <w:sz w:val="20"/>
                <w:szCs w:val="20"/>
              </w:rPr>
            </w:pPr>
          </w:p>
        </w:tc>
        <w:tc>
          <w:tcPr>
            <w:tcW w:w="748" w:type="pct"/>
            <w:shd w:val="clear" w:color="auto" w:fill="auto"/>
            <w:noWrap/>
            <w:vAlign w:val="center"/>
          </w:tcPr>
          <w:p w14:paraId="710E5799">
            <w:pPr>
              <w:widowControl/>
              <w:jc w:val="left"/>
              <w:rPr>
                <w:rFonts w:hint="eastAsia" w:ascii="宋体" w:hAnsi="宋体" w:cs="宋体"/>
                <w:kern w:val="0"/>
                <w:sz w:val="20"/>
                <w:szCs w:val="20"/>
              </w:rPr>
            </w:pPr>
            <w:r>
              <w:rPr>
                <w:rFonts w:hint="eastAsia" w:ascii="宋体" w:hAnsi="宋体" w:cs="宋体"/>
                <w:kern w:val="0"/>
                <w:sz w:val="20"/>
                <w:szCs w:val="20"/>
              </w:rPr>
              <w:t>打造拥军示范品牌点数量</w:t>
            </w:r>
          </w:p>
        </w:tc>
        <w:tc>
          <w:tcPr>
            <w:tcW w:w="751" w:type="pct"/>
            <w:shd w:val="clear" w:color="auto" w:fill="auto"/>
            <w:noWrap/>
            <w:vAlign w:val="center"/>
          </w:tcPr>
          <w:p w14:paraId="4E438004">
            <w:pPr>
              <w:widowControl/>
              <w:jc w:val="left"/>
              <w:rPr>
                <w:rFonts w:hint="eastAsia" w:ascii="宋体" w:hAnsi="宋体" w:cs="宋体"/>
                <w:kern w:val="0"/>
                <w:sz w:val="20"/>
                <w:szCs w:val="20"/>
              </w:rPr>
            </w:pPr>
            <w:r>
              <w:rPr>
                <w:rFonts w:hint="eastAsia" w:ascii="宋体" w:hAnsi="宋体" w:cs="宋体"/>
                <w:kern w:val="0"/>
                <w:sz w:val="20"/>
                <w:szCs w:val="20"/>
              </w:rPr>
              <w:t>&gt;=1个</w:t>
            </w:r>
          </w:p>
        </w:tc>
        <w:tc>
          <w:tcPr>
            <w:tcW w:w="831" w:type="pct"/>
            <w:shd w:val="clear" w:color="auto" w:fill="auto"/>
            <w:noWrap/>
            <w:vAlign w:val="center"/>
          </w:tcPr>
          <w:p w14:paraId="0E9307FA">
            <w:pPr>
              <w:widowControl/>
              <w:jc w:val="left"/>
              <w:rPr>
                <w:rFonts w:hint="eastAsia" w:ascii="宋体" w:hAnsi="宋体" w:cs="宋体"/>
                <w:kern w:val="0"/>
                <w:sz w:val="20"/>
                <w:szCs w:val="20"/>
              </w:rPr>
            </w:pPr>
            <w:r>
              <w:rPr>
                <w:rFonts w:hint="eastAsia" w:ascii="宋体" w:hAnsi="宋体" w:cs="宋体"/>
                <w:kern w:val="0"/>
                <w:sz w:val="20"/>
                <w:szCs w:val="20"/>
              </w:rPr>
              <w:t>木垒县退役军人事务局2023年度工作计划及绩效考核指标</w:t>
            </w:r>
          </w:p>
        </w:tc>
        <w:tc>
          <w:tcPr>
            <w:tcW w:w="499" w:type="pct"/>
            <w:shd w:val="clear" w:color="auto" w:fill="auto"/>
            <w:noWrap/>
            <w:vAlign w:val="center"/>
          </w:tcPr>
          <w:p w14:paraId="39A5B23A">
            <w:pPr>
              <w:widowControl/>
              <w:jc w:val="left"/>
              <w:rPr>
                <w:rFonts w:hint="eastAsia" w:ascii="宋体" w:hAnsi="宋体" w:cs="宋体"/>
                <w:kern w:val="0"/>
                <w:sz w:val="20"/>
                <w:szCs w:val="20"/>
              </w:rPr>
            </w:pPr>
            <w:r>
              <w:rPr>
                <w:rFonts w:hint="eastAsia" w:ascii="宋体" w:hAnsi="宋体" w:cs="宋体"/>
                <w:kern w:val="0"/>
                <w:sz w:val="20"/>
                <w:szCs w:val="20"/>
              </w:rPr>
              <w:t>10</w:t>
            </w:r>
          </w:p>
        </w:tc>
        <w:tc>
          <w:tcPr>
            <w:tcW w:w="414" w:type="pct"/>
            <w:shd w:val="clear" w:color="auto" w:fill="auto"/>
            <w:noWrap/>
            <w:vAlign w:val="center"/>
          </w:tcPr>
          <w:p w14:paraId="24B31B96">
            <w:pPr>
              <w:widowControl/>
              <w:jc w:val="left"/>
              <w:rPr>
                <w:rFonts w:hint="eastAsia" w:ascii="宋体" w:hAnsi="宋体" w:cs="宋体"/>
                <w:kern w:val="0"/>
                <w:sz w:val="20"/>
                <w:szCs w:val="20"/>
              </w:rPr>
            </w:pPr>
            <w:r>
              <w:rPr>
                <w:rFonts w:hint="eastAsia" w:ascii="宋体" w:hAnsi="宋体" w:cs="宋体"/>
                <w:kern w:val="0"/>
                <w:sz w:val="20"/>
                <w:szCs w:val="20"/>
              </w:rPr>
              <w:t>1个</w:t>
            </w:r>
          </w:p>
        </w:tc>
        <w:tc>
          <w:tcPr>
            <w:tcW w:w="279" w:type="pct"/>
            <w:shd w:val="clear" w:color="auto" w:fill="auto"/>
            <w:noWrap/>
            <w:vAlign w:val="center"/>
          </w:tcPr>
          <w:p w14:paraId="06360C08">
            <w:pPr>
              <w:widowControl/>
              <w:jc w:val="left"/>
              <w:rPr>
                <w:rFonts w:hint="eastAsia" w:ascii="宋体" w:hAnsi="宋体" w:cs="宋体"/>
                <w:kern w:val="0"/>
                <w:sz w:val="20"/>
                <w:szCs w:val="20"/>
              </w:rPr>
            </w:pPr>
            <w:r>
              <w:rPr>
                <w:rFonts w:hint="eastAsia" w:ascii="宋体" w:hAnsi="宋体" w:cs="宋体"/>
                <w:kern w:val="0"/>
                <w:sz w:val="20"/>
                <w:szCs w:val="20"/>
              </w:rPr>
              <w:t>10</w:t>
            </w:r>
          </w:p>
        </w:tc>
      </w:tr>
      <w:tr w14:paraId="71192E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trPr>
        <w:tc>
          <w:tcPr>
            <w:tcW w:w="692" w:type="pct"/>
            <w:shd w:val="clear" w:color="auto" w:fill="auto"/>
            <w:noWrap/>
            <w:vAlign w:val="center"/>
          </w:tcPr>
          <w:p w14:paraId="3C4C679E">
            <w:pPr>
              <w:widowControl/>
              <w:jc w:val="left"/>
              <w:rPr>
                <w:rFonts w:hint="eastAsia" w:ascii="宋体" w:hAnsi="宋体" w:cs="宋体"/>
                <w:kern w:val="0"/>
                <w:sz w:val="20"/>
                <w:szCs w:val="20"/>
              </w:rPr>
            </w:pPr>
            <w:r>
              <w:rPr>
                <w:rFonts w:hint="eastAsia" w:ascii="宋体" w:hAnsi="宋体" w:cs="宋体"/>
                <w:kern w:val="0"/>
                <w:sz w:val="20"/>
                <w:szCs w:val="20"/>
              </w:rPr>
              <w:t>社会效益</w:t>
            </w:r>
          </w:p>
        </w:tc>
        <w:tc>
          <w:tcPr>
            <w:tcW w:w="786" w:type="pct"/>
            <w:vMerge w:val="continue"/>
            <w:vAlign w:val="center"/>
          </w:tcPr>
          <w:p w14:paraId="5A2FE533">
            <w:pPr>
              <w:widowControl/>
              <w:jc w:val="left"/>
              <w:rPr>
                <w:rFonts w:hint="eastAsia" w:ascii="宋体" w:hAnsi="宋体" w:cs="宋体"/>
                <w:kern w:val="0"/>
                <w:sz w:val="20"/>
                <w:szCs w:val="20"/>
              </w:rPr>
            </w:pPr>
          </w:p>
        </w:tc>
        <w:tc>
          <w:tcPr>
            <w:tcW w:w="748" w:type="pct"/>
            <w:shd w:val="clear" w:color="auto" w:fill="auto"/>
            <w:noWrap/>
            <w:vAlign w:val="center"/>
          </w:tcPr>
          <w:p w14:paraId="7A78B655">
            <w:pPr>
              <w:widowControl/>
              <w:jc w:val="left"/>
              <w:rPr>
                <w:rFonts w:hint="eastAsia" w:ascii="宋体" w:hAnsi="宋体" w:cs="宋体"/>
                <w:kern w:val="0"/>
                <w:sz w:val="20"/>
                <w:szCs w:val="20"/>
              </w:rPr>
            </w:pPr>
            <w:r>
              <w:rPr>
                <w:rFonts w:hint="eastAsia" w:ascii="宋体" w:hAnsi="宋体" w:cs="宋体"/>
                <w:kern w:val="0"/>
                <w:sz w:val="20"/>
                <w:szCs w:val="20"/>
              </w:rPr>
              <w:t>退役军人信访事件下降率</w:t>
            </w:r>
          </w:p>
        </w:tc>
        <w:tc>
          <w:tcPr>
            <w:tcW w:w="751" w:type="pct"/>
            <w:shd w:val="clear" w:color="auto" w:fill="auto"/>
            <w:noWrap/>
            <w:vAlign w:val="center"/>
          </w:tcPr>
          <w:p w14:paraId="03F7CECC">
            <w:pPr>
              <w:widowControl/>
              <w:jc w:val="left"/>
              <w:rPr>
                <w:rFonts w:hint="eastAsia" w:ascii="宋体" w:hAnsi="宋体" w:cs="宋体"/>
                <w:kern w:val="0"/>
                <w:sz w:val="20"/>
                <w:szCs w:val="20"/>
              </w:rPr>
            </w:pPr>
            <w:r>
              <w:rPr>
                <w:rFonts w:hint="eastAsia" w:ascii="宋体" w:hAnsi="宋体" w:cs="宋体"/>
                <w:kern w:val="0"/>
                <w:sz w:val="20"/>
                <w:szCs w:val="20"/>
              </w:rPr>
              <w:t>&lt;=1%</w:t>
            </w:r>
          </w:p>
        </w:tc>
        <w:tc>
          <w:tcPr>
            <w:tcW w:w="831" w:type="pct"/>
            <w:shd w:val="clear" w:color="auto" w:fill="auto"/>
            <w:noWrap/>
            <w:vAlign w:val="center"/>
          </w:tcPr>
          <w:p w14:paraId="54C51B96">
            <w:pPr>
              <w:widowControl/>
              <w:jc w:val="left"/>
              <w:rPr>
                <w:rFonts w:hint="eastAsia" w:ascii="宋体" w:hAnsi="宋体" w:cs="宋体"/>
                <w:kern w:val="0"/>
                <w:sz w:val="20"/>
                <w:szCs w:val="20"/>
              </w:rPr>
            </w:pPr>
            <w:r>
              <w:rPr>
                <w:rFonts w:hint="eastAsia" w:ascii="宋体" w:hAnsi="宋体" w:cs="宋体"/>
                <w:kern w:val="0"/>
                <w:sz w:val="20"/>
                <w:szCs w:val="20"/>
              </w:rPr>
              <w:t>木垒县退役军人事务局2023年度工作计划及绩效考核指标</w:t>
            </w:r>
          </w:p>
        </w:tc>
        <w:tc>
          <w:tcPr>
            <w:tcW w:w="499" w:type="pct"/>
            <w:shd w:val="clear" w:color="auto" w:fill="auto"/>
            <w:noWrap/>
            <w:vAlign w:val="center"/>
          </w:tcPr>
          <w:p w14:paraId="28C01B2A">
            <w:pPr>
              <w:widowControl/>
              <w:jc w:val="left"/>
              <w:rPr>
                <w:rFonts w:hint="eastAsia" w:ascii="宋体" w:hAnsi="宋体" w:cs="宋体"/>
                <w:kern w:val="0"/>
                <w:sz w:val="20"/>
                <w:szCs w:val="20"/>
              </w:rPr>
            </w:pPr>
            <w:r>
              <w:rPr>
                <w:rFonts w:hint="eastAsia" w:ascii="宋体" w:hAnsi="宋体" w:cs="宋体"/>
                <w:kern w:val="0"/>
                <w:sz w:val="20"/>
                <w:szCs w:val="20"/>
              </w:rPr>
              <w:t>10</w:t>
            </w:r>
          </w:p>
        </w:tc>
        <w:tc>
          <w:tcPr>
            <w:tcW w:w="414" w:type="pct"/>
            <w:shd w:val="clear" w:color="auto" w:fill="auto"/>
            <w:noWrap/>
            <w:vAlign w:val="center"/>
          </w:tcPr>
          <w:p w14:paraId="6CDEF3A5">
            <w:pPr>
              <w:widowControl/>
              <w:jc w:val="left"/>
              <w:rPr>
                <w:rFonts w:hint="eastAsia" w:ascii="宋体" w:hAnsi="宋体" w:cs="宋体"/>
                <w:kern w:val="0"/>
                <w:sz w:val="20"/>
                <w:szCs w:val="20"/>
              </w:rPr>
            </w:pPr>
            <w:r>
              <w:rPr>
                <w:rFonts w:hint="eastAsia" w:ascii="宋体" w:hAnsi="宋体" w:cs="宋体"/>
                <w:kern w:val="0"/>
                <w:sz w:val="20"/>
                <w:szCs w:val="20"/>
              </w:rPr>
              <w:t>1%</w:t>
            </w:r>
          </w:p>
        </w:tc>
        <w:tc>
          <w:tcPr>
            <w:tcW w:w="279" w:type="pct"/>
            <w:shd w:val="clear" w:color="auto" w:fill="auto"/>
            <w:noWrap/>
            <w:vAlign w:val="center"/>
          </w:tcPr>
          <w:p w14:paraId="4035F588">
            <w:pPr>
              <w:widowControl/>
              <w:jc w:val="left"/>
              <w:rPr>
                <w:rFonts w:hint="eastAsia" w:ascii="宋体" w:hAnsi="宋体" w:cs="宋体"/>
                <w:kern w:val="0"/>
                <w:sz w:val="20"/>
                <w:szCs w:val="20"/>
              </w:rPr>
            </w:pPr>
            <w:r>
              <w:rPr>
                <w:rFonts w:hint="eastAsia" w:ascii="宋体" w:hAnsi="宋体" w:cs="宋体"/>
                <w:kern w:val="0"/>
                <w:sz w:val="20"/>
                <w:szCs w:val="20"/>
              </w:rPr>
              <w:t>10</w:t>
            </w:r>
          </w:p>
        </w:tc>
      </w:tr>
      <w:tr w14:paraId="3AFC32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trPr>
        <w:tc>
          <w:tcPr>
            <w:tcW w:w="692" w:type="pct"/>
            <w:shd w:val="clear" w:color="auto" w:fill="auto"/>
            <w:noWrap/>
            <w:vAlign w:val="center"/>
          </w:tcPr>
          <w:p w14:paraId="6E0CA6DF">
            <w:pPr>
              <w:widowControl/>
              <w:jc w:val="left"/>
              <w:rPr>
                <w:rFonts w:hint="eastAsia" w:ascii="宋体" w:hAnsi="宋体" w:cs="宋体"/>
                <w:kern w:val="0"/>
                <w:sz w:val="20"/>
                <w:szCs w:val="20"/>
              </w:rPr>
            </w:pPr>
            <w:r>
              <w:rPr>
                <w:rFonts w:hint="eastAsia" w:ascii="宋体" w:hAnsi="宋体" w:cs="宋体"/>
                <w:kern w:val="0"/>
                <w:sz w:val="20"/>
                <w:szCs w:val="20"/>
              </w:rPr>
              <w:t>可持续发展能力</w:t>
            </w:r>
          </w:p>
        </w:tc>
        <w:tc>
          <w:tcPr>
            <w:tcW w:w="786" w:type="pct"/>
            <w:vMerge w:val="continue"/>
            <w:vAlign w:val="center"/>
          </w:tcPr>
          <w:p w14:paraId="766A9A0A">
            <w:pPr>
              <w:widowControl/>
              <w:jc w:val="left"/>
              <w:rPr>
                <w:rFonts w:hint="eastAsia" w:ascii="宋体" w:hAnsi="宋体" w:cs="宋体"/>
                <w:kern w:val="0"/>
                <w:sz w:val="20"/>
                <w:szCs w:val="20"/>
              </w:rPr>
            </w:pPr>
          </w:p>
        </w:tc>
        <w:tc>
          <w:tcPr>
            <w:tcW w:w="748" w:type="pct"/>
            <w:shd w:val="clear" w:color="auto" w:fill="auto"/>
            <w:noWrap/>
            <w:vAlign w:val="center"/>
          </w:tcPr>
          <w:p w14:paraId="72A47A86">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751" w:type="pct"/>
            <w:shd w:val="clear" w:color="auto" w:fill="auto"/>
            <w:noWrap/>
            <w:vAlign w:val="center"/>
          </w:tcPr>
          <w:p w14:paraId="2AFD617D">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831" w:type="pct"/>
            <w:shd w:val="clear" w:color="auto" w:fill="auto"/>
            <w:noWrap/>
            <w:vAlign w:val="center"/>
          </w:tcPr>
          <w:p w14:paraId="5591C729">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499" w:type="pct"/>
            <w:shd w:val="clear" w:color="auto" w:fill="auto"/>
            <w:noWrap/>
            <w:vAlign w:val="center"/>
          </w:tcPr>
          <w:p w14:paraId="54924610">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414" w:type="pct"/>
            <w:shd w:val="clear" w:color="auto" w:fill="auto"/>
            <w:noWrap/>
            <w:vAlign w:val="center"/>
          </w:tcPr>
          <w:p w14:paraId="0A96A94F">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279" w:type="pct"/>
            <w:shd w:val="clear" w:color="auto" w:fill="auto"/>
            <w:noWrap/>
            <w:vAlign w:val="center"/>
          </w:tcPr>
          <w:p w14:paraId="50E9F8D7">
            <w:pPr>
              <w:widowControl/>
              <w:jc w:val="left"/>
              <w:rPr>
                <w:rFonts w:hint="eastAsia" w:ascii="宋体" w:hAnsi="宋体" w:cs="宋体"/>
                <w:kern w:val="0"/>
                <w:sz w:val="20"/>
                <w:szCs w:val="20"/>
              </w:rPr>
            </w:pPr>
            <w:r>
              <w:rPr>
                <w:rFonts w:hint="eastAsia" w:ascii="宋体" w:hAnsi="宋体" w:cs="宋体"/>
                <w:kern w:val="0"/>
                <w:sz w:val="20"/>
                <w:szCs w:val="20"/>
              </w:rPr>
              <w:t>　</w:t>
            </w:r>
          </w:p>
        </w:tc>
      </w:tr>
      <w:tr w14:paraId="044AB5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trPr>
        <w:tc>
          <w:tcPr>
            <w:tcW w:w="692" w:type="pct"/>
            <w:shd w:val="clear" w:color="auto" w:fill="auto"/>
            <w:noWrap/>
            <w:vAlign w:val="center"/>
          </w:tcPr>
          <w:p w14:paraId="7823EC19">
            <w:pPr>
              <w:widowControl/>
              <w:jc w:val="left"/>
              <w:rPr>
                <w:rFonts w:hint="eastAsia" w:ascii="宋体" w:hAnsi="宋体" w:cs="宋体"/>
                <w:kern w:val="0"/>
                <w:sz w:val="20"/>
                <w:szCs w:val="20"/>
              </w:rPr>
            </w:pPr>
            <w:r>
              <w:rPr>
                <w:rFonts w:hint="eastAsia" w:ascii="宋体" w:hAnsi="宋体" w:cs="宋体"/>
                <w:kern w:val="0"/>
                <w:sz w:val="20"/>
                <w:szCs w:val="20"/>
              </w:rPr>
              <w:t>服务对象满意度</w:t>
            </w:r>
          </w:p>
        </w:tc>
        <w:tc>
          <w:tcPr>
            <w:tcW w:w="786" w:type="pct"/>
            <w:vMerge w:val="continue"/>
            <w:vAlign w:val="center"/>
          </w:tcPr>
          <w:p w14:paraId="152579A4">
            <w:pPr>
              <w:widowControl/>
              <w:jc w:val="left"/>
              <w:rPr>
                <w:rFonts w:hint="eastAsia" w:ascii="宋体" w:hAnsi="宋体" w:cs="宋体"/>
                <w:kern w:val="0"/>
                <w:sz w:val="20"/>
                <w:szCs w:val="20"/>
              </w:rPr>
            </w:pPr>
          </w:p>
        </w:tc>
        <w:tc>
          <w:tcPr>
            <w:tcW w:w="748" w:type="pct"/>
            <w:shd w:val="clear" w:color="auto" w:fill="auto"/>
            <w:noWrap/>
            <w:vAlign w:val="center"/>
          </w:tcPr>
          <w:p w14:paraId="59B8341C">
            <w:pPr>
              <w:widowControl/>
              <w:jc w:val="left"/>
              <w:rPr>
                <w:rFonts w:hint="eastAsia" w:ascii="宋体" w:hAnsi="宋体" w:cs="宋体"/>
                <w:kern w:val="0"/>
                <w:sz w:val="20"/>
                <w:szCs w:val="20"/>
              </w:rPr>
            </w:pPr>
            <w:r>
              <w:rPr>
                <w:rFonts w:hint="eastAsia" w:ascii="宋体" w:hAnsi="宋体" w:cs="宋体"/>
                <w:kern w:val="0"/>
                <w:sz w:val="20"/>
                <w:szCs w:val="20"/>
              </w:rPr>
              <w:t>退役士兵满意度</w:t>
            </w:r>
          </w:p>
        </w:tc>
        <w:tc>
          <w:tcPr>
            <w:tcW w:w="751" w:type="pct"/>
            <w:shd w:val="clear" w:color="auto" w:fill="auto"/>
            <w:noWrap/>
            <w:vAlign w:val="center"/>
          </w:tcPr>
          <w:p w14:paraId="0AB40478">
            <w:pPr>
              <w:widowControl/>
              <w:jc w:val="left"/>
              <w:rPr>
                <w:rFonts w:hint="eastAsia" w:ascii="宋体" w:hAnsi="宋体" w:cs="宋体"/>
                <w:kern w:val="0"/>
                <w:sz w:val="20"/>
                <w:szCs w:val="20"/>
              </w:rPr>
            </w:pPr>
            <w:r>
              <w:rPr>
                <w:rFonts w:hint="eastAsia" w:ascii="宋体" w:hAnsi="宋体" w:cs="宋体"/>
                <w:kern w:val="0"/>
                <w:sz w:val="20"/>
                <w:szCs w:val="20"/>
              </w:rPr>
              <w:t>&gt;=95%</w:t>
            </w:r>
          </w:p>
        </w:tc>
        <w:tc>
          <w:tcPr>
            <w:tcW w:w="831" w:type="pct"/>
            <w:shd w:val="clear" w:color="auto" w:fill="auto"/>
            <w:noWrap/>
            <w:vAlign w:val="center"/>
          </w:tcPr>
          <w:p w14:paraId="371C3175">
            <w:pPr>
              <w:widowControl/>
              <w:jc w:val="left"/>
              <w:rPr>
                <w:rFonts w:hint="eastAsia" w:ascii="宋体" w:hAnsi="宋体" w:cs="宋体"/>
                <w:kern w:val="0"/>
                <w:sz w:val="20"/>
                <w:szCs w:val="20"/>
              </w:rPr>
            </w:pPr>
            <w:r>
              <w:rPr>
                <w:rFonts w:hint="eastAsia" w:ascii="宋体" w:hAnsi="宋体" w:cs="宋体"/>
                <w:kern w:val="0"/>
                <w:sz w:val="20"/>
                <w:szCs w:val="20"/>
              </w:rPr>
              <w:t>木垒县退役军人事务局2023年度工作计划及绩效考核指标</w:t>
            </w:r>
          </w:p>
        </w:tc>
        <w:tc>
          <w:tcPr>
            <w:tcW w:w="499" w:type="pct"/>
            <w:shd w:val="clear" w:color="auto" w:fill="auto"/>
            <w:noWrap/>
            <w:vAlign w:val="center"/>
          </w:tcPr>
          <w:p w14:paraId="4FA22261">
            <w:pPr>
              <w:widowControl/>
              <w:jc w:val="left"/>
              <w:rPr>
                <w:rFonts w:hint="eastAsia" w:ascii="宋体" w:hAnsi="宋体" w:cs="宋体"/>
                <w:kern w:val="0"/>
                <w:sz w:val="20"/>
                <w:szCs w:val="20"/>
              </w:rPr>
            </w:pPr>
            <w:r>
              <w:rPr>
                <w:rFonts w:hint="eastAsia" w:ascii="宋体" w:hAnsi="宋体" w:cs="宋体"/>
                <w:kern w:val="0"/>
                <w:sz w:val="20"/>
                <w:szCs w:val="20"/>
              </w:rPr>
              <w:t>10</w:t>
            </w:r>
          </w:p>
        </w:tc>
        <w:tc>
          <w:tcPr>
            <w:tcW w:w="414" w:type="pct"/>
            <w:shd w:val="clear" w:color="auto" w:fill="auto"/>
            <w:noWrap/>
            <w:vAlign w:val="center"/>
          </w:tcPr>
          <w:p w14:paraId="1A0DCB04">
            <w:pPr>
              <w:widowControl/>
              <w:jc w:val="left"/>
              <w:rPr>
                <w:rFonts w:hint="eastAsia" w:ascii="宋体" w:hAnsi="宋体" w:cs="宋体"/>
                <w:kern w:val="0"/>
                <w:sz w:val="20"/>
                <w:szCs w:val="20"/>
              </w:rPr>
            </w:pPr>
            <w:r>
              <w:rPr>
                <w:rFonts w:hint="eastAsia" w:ascii="宋体" w:hAnsi="宋体" w:cs="宋体"/>
                <w:kern w:val="0"/>
                <w:sz w:val="20"/>
                <w:szCs w:val="20"/>
              </w:rPr>
              <w:t>95%</w:t>
            </w:r>
          </w:p>
        </w:tc>
        <w:tc>
          <w:tcPr>
            <w:tcW w:w="279" w:type="pct"/>
            <w:shd w:val="clear" w:color="auto" w:fill="auto"/>
            <w:noWrap/>
            <w:vAlign w:val="center"/>
          </w:tcPr>
          <w:p w14:paraId="1E3221E3">
            <w:pPr>
              <w:widowControl/>
              <w:jc w:val="left"/>
              <w:rPr>
                <w:rFonts w:hint="eastAsia" w:ascii="宋体" w:hAnsi="宋体" w:cs="宋体"/>
                <w:kern w:val="0"/>
                <w:sz w:val="20"/>
                <w:szCs w:val="20"/>
              </w:rPr>
            </w:pPr>
            <w:r>
              <w:rPr>
                <w:rFonts w:hint="eastAsia" w:ascii="宋体" w:hAnsi="宋体" w:cs="宋体"/>
                <w:kern w:val="0"/>
                <w:sz w:val="20"/>
                <w:szCs w:val="20"/>
              </w:rPr>
              <w:t>10</w:t>
            </w:r>
          </w:p>
        </w:tc>
      </w:tr>
    </w:tbl>
    <w:p w14:paraId="1A354E4E">
      <w:pPr>
        <w:ind w:firstLine="640" w:firstLineChars="200"/>
        <w:jc w:val="left"/>
        <w:rPr>
          <w:rFonts w:ascii="仿宋_GB2312" w:eastAsia="仿宋_GB2312"/>
          <w:sz w:val="32"/>
          <w:szCs w:val="32"/>
        </w:rPr>
      </w:pPr>
    </w:p>
    <w:tbl>
      <w:tblPr>
        <w:tblStyle w:val="9"/>
        <w:tblW w:w="5000" w:type="pct"/>
        <w:tblInd w:w="0" w:type="dxa"/>
        <w:tblLayout w:type="autofit"/>
        <w:tblCellMar>
          <w:top w:w="0" w:type="dxa"/>
          <w:left w:w="108" w:type="dxa"/>
          <w:bottom w:w="0" w:type="dxa"/>
          <w:right w:w="108" w:type="dxa"/>
        </w:tblCellMar>
      </w:tblPr>
      <w:tblGrid>
        <w:gridCol w:w="480"/>
        <w:gridCol w:w="480"/>
        <w:gridCol w:w="839"/>
        <w:gridCol w:w="707"/>
        <w:gridCol w:w="1043"/>
        <w:gridCol w:w="666"/>
        <w:gridCol w:w="816"/>
        <w:gridCol w:w="718"/>
        <w:gridCol w:w="274"/>
        <w:gridCol w:w="286"/>
        <w:gridCol w:w="356"/>
        <w:gridCol w:w="435"/>
        <w:gridCol w:w="481"/>
        <w:gridCol w:w="719"/>
        <w:gridCol w:w="222"/>
      </w:tblGrid>
      <w:tr w14:paraId="238D1E5B">
        <w:tblPrEx>
          <w:tblCellMar>
            <w:top w:w="0" w:type="dxa"/>
            <w:left w:w="108" w:type="dxa"/>
            <w:bottom w:w="0" w:type="dxa"/>
            <w:right w:w="108" w:type="dxa"/>
          </w:tblCellMar>
        </w:tblPrEx>
        <w:trPr>
          <w:gridAfter w:val="1"/>
          <w:wAfter w:w="130" w:type="pct"/>
          <w:trHeight w:val="405" w:hRule="atLeast"/>
        </w:trPr>
        <w:tc>
          <w:tcPr>
            <w:tcW w:w="4870" w:type="pct"/>
            <w:gridSpan w:val="14"/>
            <w:tcBorders>
              <w:top w:val="nil"/>
              <w:left w:val="nil"/>
              <w:bottom w:val="nil"/>
              <w:right w:val="nil"/>
            </w:tcBorders>
            <w:shd w:val="clear" w:color="auto" w:fill="auto"/>
            <w:vAlign w:val="center"/>
          </w:tcPr>
          <w:p w14:paraId="0C7FF2AA">
            <w:pPr>
              <w:widowControl/>
              <w:jc w:val="center"/>
              <w:rPr>
                <w:rFonts w:hint="eastAsia" w:ascii="宋体" w:hAnsi="宋体" w:cs="宋体"/>
                <w:b/>
                <w:bCs/>
                <w:kern w:val="0"/>
                <w:sz w:val="32"/>
                <w:szCs w:val="32"/>
              </w:rPr>
            </w:pPr>
            <w:r>
              <w:rPr>
                <w:rFonts w:hint="eastAsia" w:ascii="宋体" w:hAnsi="宋体" w:cs="宋体"/>
                <w:b/>
                <w:bCs/>
                <w:kern w:val="0"/>
                <w:sz w:val="32"/>
                <w:szCs w:val="32"/>
              </w:rPr>
              <w:t>项目支出绩效自评表</w:t>
            </w:r>
          </w:p>
        </w:tc>
      </w:tr>
      <w:tr w14:paraId="57A86298">
        <w:tblPrEx>
          <w:tblCellMar>
            <w:top w:w="0" w:type="dxa"/>
            <w:left w:w="108" w:type="dxa"/>
            <w:bottom w:w="0" w:type="dxa"/>
            <w:right w:w="108" w:type="dxa"/>
          </w:tblCellMar>
        </w:tblPrEx>
        <w:trPr>
          <w:gridAfter w:val="1"/>
          <w:wAfter w:w="130" w:type="pct"/>
          <w:trHeight w:val="270" w:hRule="atLeast"/>
        </w:trPr>
        <w:tc>
          <w:tcPr>
            <w:tcW w:w="4870" w:type="pct"/>
            <w:gridSpan w:val="14"/>
            <w:tcBorders>
              <w:top w:val="nil"/>
              <w:left w:val="nil"/>
              <w:bottom w:val="nil"/>
              <w:right w:val="nil"/>
            </w:tcBorders>
            <w:shd w:val="clear" w:color="auto" w:fill="auto"/>
            <w:vAlign w:val="center"/>
          </w:tcPr>
          <w:p w14:paraId="77D23E2E">
            <w:pPr>
              <w:widowControl/>
              <w:jc w:val="center"/>
              <w:rPr>
                <w:rFonts w:hint="eastAsia" w:ascii="宋体" w:hAnsi="宋体" w:cs="宋体"/>
                <w:kern w:val="0"/>
                <w:sz w:val="20"/>
                <w:szCs w:val="20"/>
              </w:rPr>
            </w:pPr>
            <w:r>
              <w:rPr>
                <w:rFonts w:hint="eastAsia" w:ascii="宋体" w:hAnsi="宋体" w:cs="宋体"/>
                <w:kern w:val="0"/>
                <w:sz w:val="20"/>
                <w:szCs w:val="20"/>
              </w:rPr>
              <w:t>(2023年度)</w:t>
            </w:r>
          </w:p>
        </w:tc>
      </w:tr>
      <w:tr w14:paraId="48C55BD0">
        <w:tblPrEx>
          <w:tblCellMar>
            <w:top w:w="0" w:type="dxa"/>
            <w:left w:w="108" w:type="dxa"/>
            <w:bottom w:w="0" w:type="dxa"/>
            <w:right w:w="108" w:type="dxa"/>
          </w:tblCellMar>
        </w:tblPrEx>
        <w:trPr>
          <w:gridAfter w:val="1"/>
          <w:wAfter w:w="130" w:type="pct"/>
          <w:trHeight w:val="270" w:hRule="atLeast"/>
        </w:trPr>
        <w:tc>
          <w:tcPr>
            <w:tcW w:w="564"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71DB5308">
            <w:pPr>
              <w:widowControl/>
              <w:jc w:val="center"/>
              <w:rPr>
                <w:rFonts w:hint="eastAsia" w:ascii="宋体" w:hAnsi="宋体" w:cs="宋体"/>
                <w:kern w:val="0"/>
                <w:sz w:val="20"/>
                <w:szCs w:val="20"/>
              </w:rPr>
            </w:pPr>
            <w:r>
              <w:rPr>
                <w:rFonts w:hint="eastAsia" w:ascii="宋体" w:hAnsi="宋体" w:cs="宋体"/>
                <w:kern w:val="0"/>
                <w:sz w:val="20"/>
                <w:szCs w:val="20"/>
              </w:rPr>
              <w:t>项目名称</w:t>
            </w:r>
          </w:p>
        </w:tc>
        <w:tc>
          <w:tcPr>
            <w:tcW w:w="4305" w:type="pct"/>
            <w:gridSpan w:val="12"/>
            <w:tcBorders>
              <w:top w:val="single" w:color="auto" w:sz="4" w:space="0"/>
              <w:left w:val="nil"/>
              <w:bottom w:val="single" w:color="auto" w:sz="4" w:space="0"/>
              <w:right w:val="single" w:color="000000" w:sz="4" w:space="0"/>
            </w:tcBorders>
            <w:shd w:val="clear" w:color="auto" w:fill="auto"/>
            <w:vAlign w:val="center"/>
          </w:tcPr>
          <w:p w14:paraId="060D56BE">
            <w:pPr>
              <w:widowControl/>
              <w:jc w:val="center"/>
              <w:rPr>
                <w:rFonts w:hint="eastAsia" w:ascii="宋体" w:hAnsi="宋体" w:cs="宋体"/>
                <w:kern w:val="0"/>
                <w:sz w:val="20"/>
                <w:szCs w:val="20"/>
              </w:rPr>
            </w:pPr>
            <w:r>
              <w:rPr>
                <w:rFonts w:hint="eastAsia" w:ascii="宋体" w:hAnsi="宋体" w:cs="宋体"/>
                <w:kern w:val="0"/>
                <w:sz w:val="20"/>
                <w:szCs w:val="20"/>
              </w:rPr>
              <w:t>优抚对象补助经费预算（第二批）</w:t>
            </w:r>
          </w:p>
        </w:tc>
      </w:tr>
      <w:tr w14:paraId="2B0A53D8">
        <w:tblPrEx>
          <w:tblCellMar>
            <w:top w:w="0" w:type="dxa"/>
            <w:left w:w="108" w:type="dxa"/>
            <w:bottom w:w="0" w:type="dxa"/>
            <w:right w:w="108" w:type="dxa"/>
          </w:tblCellMar>
        </w:tblPrEx>
        <w:trPr>
          <w:gridAfter w:val="1"/>
          <w:wAfter w:w="130" w:type="pct"/>
          <w:trHeight w:val="270" w:hRule="atLeast"/>
        </w:trPr>
        <w:tc>
          <w:tcPr>
            <w:tcW w:w="564"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56601B85">
            <w:pPr>
              <w:widowControl/>
              <w:jc w:val="center"/>
              <w:rPr>
                <w:rFonts w:hint="eastAsia" w:ascii="宋体" w:hAnsi="宋体" w:cs="宋体"/>
                <w:kern w:val="0"/>
                <w:sz w:val="20"/>
                <w:szCs w:val="20"/>
              </w:rPr>
            </w:pPr>
            <w:r>
              <w:rPr>
                <w:rFonts w:hint="eastAsia" w:ascii="宋体" w:hAnsi="宋体" w:cs="宋体"/>
                <w:kern w:val="0"/>
                <w:sz w:val="20"/>
                <w:szCs w:val="20"/>
              </w:rPr>
              <w:t>主管部门</w:t>
            </w:r>
          </w:p>
        </w:tc>
        <w:tc>
          <w:tcPr>
            <w:tcW w:w="2389" w:type="pct"/>
            <w:gridSpan w:val="5"/>
            <w:tcBorders>
              <w:top w:val="single" w:color="auto" w:sz="4" w:space="0"/>
              <w:left w:val="nil"/>
              <w:bottom w:val="single" w:color="auto" w:sz="4" w:space="0"/>
              <w:right w:val="single" w:color="auto" w:sz="4" w:space="0"/>
            </w:tcBorders>
            <w:shd w:val="clear" w:color="auto" w:fill="auto"/>
            <w:vAlign w:val="center"/>
          </w:tcPr>
          <w:p w14:paraId="400C98CE">
            <w:pPr>
              <w:widowControl/>
              <w:jc w:val="center"/>
              <w:rPr>
                <w:rFonts w:hint="eastAsia" w:ascii="宋体" w:hAnsi="宋体" w:cs="宋体"/>
                <w:kern w:val="0"/>
                <w:sz w:val="20"/>
                <w:szCs w:val="20"/>
              </w:rPr>
            </w:pPr>
            <w:r>
              <w:rPr>
                <w:rFonts w:hint="eastAsia" w:ascii="宋体" w:hAnsi="宋体" w:cs="宋体"/>
                <w:kern w:val="0"/>
                <w:sz w:val="20"/>
                <w:szCs w:val="20"/>
              </w:rPr>
              <w:t>木垒哈萨克自治县退伍军人事务局</w:t>
            </w:r>
          </w:p>
        </w:tc>
        <w:tc>
          <w:tcPr>
            <w:tcW w:w="582" w:type="pct"/>
            <w:gridSpan w:val="2"/>
            <w:tcBorders>
              <w:top w:val="single" w:color="auto" w:sz="4" w:space="0"/>
              <w:left w:val="nil"/>
              <w:bottom w:val="single" w:color="auto" w:sz="4" w:space="0"/>
              <w:right w:val="single" w:color="auto" w:sz="4" w:space="0"/>
            </w:tcBorders>
            <w:shd w:val="clear" w:color="auto" w:fill="auto"/>
            <w:vAlign w:val="center"/>
          </w:tcPr>
          <w:p w14:paraId="3E4EE85C">
            <w:pPr>
              <w:widowControl/>
              <w:jc w:val="center"/>
              <w:rPr>
                <w:rFonts w:hint="eastAsia" w:ascii="宋体" w:hAnsi="宋体" w:cs="宋体"/>
                <w:kern w:val="0"/>
                <w:sz w:val="20"/>
                <w:szCs w:val="20"/>
              </w:rPr>
            </w:pPr>
            <w:r>
              <w:rPr>
                <w:rFonts w:hint="eastAsia" w:ascii="宋体" w:hAnsi="宋体" w:cs="宋体"/>
                <w:kern w:val="0"/>
                <w:sz w:val="20"/>
                <w:szCs w:val="20"/>
              </w:rPr>
              <w:t>实施单位</w:t>
            </w:r>
          </w:p>
        </w:tc>
        <w:tc>
          <w:tcPr>
            <w:tcW w:w="1335" w:type="pct"/>
            <w:gridSpan w:val="5"/>
            <w:tcBorders>
              <w:top w:val="single" w:color="auto" w:sz="4" w:space="0"/>
              <w:left w:val="nil"/>
              <w:bottom w:val="single" w:color="auto" w:sz="4" w:space="0"/>
              <w:right w:val="single" w:color="auto" w:sz="4" w:space="0"/>
            </w:tcBorders>
            <w:shd w:val="clear" w:color="auto" w:fill="auto"/>
            <w:vAlign w:val="center"/>
          </w:tcPr>
          <w:p w14:paraId="7434DCDF">
            <w:pPr>
              <w:widowControl/>
              <w:jc w:val="center"/>
              <w:rPr>
                <w:rFonts w:hint="eastAsia" w:ascii="宋体" w:hAnsi="宋体" w:cs="宋体"/>
                <w:kern w:val="0"/>
                <w:sz w:val="20"/>
                <w:szCs w:val="20"/>
              </w:rPr>
            </w:pPr>
            <w:r>
              <w:rPr>
                <w:rFonts w:hint="eastAsia" w:ascii="宋体" w:hAnsi="宋体" w:cs="宋体"/>
                <w:kern w:val="0"/>
                <w:sz w:val="20"/>
                <w:szCs w:val="20"/>
              </w:rPr>
              <w:t>木垒哈萨克自治县退伍军人事务局</w:t>
            </w:r>
          </w:p>
        </w:tc>
      </w:tr>
      <w:tr w14:paraId="23F3BCF0">
        <w:tblPrEx>
          <w:tblCellMar>
            <w:top w:w="0" w:type="dxa"/>
            <w:left w:w="108" w:type="dxa"/>
            <w:bottom w:w="0" w:type="dxa"/>
            <w:right w:w="108" w:type="dxa"/>
          </w:tblCellMar>
        </w:tblPrEx>
        <w:trPr>
          <w:gridAfter w:val="1"/>
          <w:wAfter w:w="130" w:type="pct"/>
          <w:trHeight w:val="480" w:hRule="atLeast"/>
        </w:trPr>
        <w:tc>
          <w:tcPr>
            <w:tcW w:w="564"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63F509F">
            <w:pPr>
              <w:widowControl/>
              <w:jc w:val="center"/>
              <w:rPr>
                <w:rFonts w:hint="eastAsia" w:ascii="宋体" w:hAnsi="宋体" w:cs="宋体"/>
                <w:kern w:val="0"/>
                <w:sz w:val="20"/>
                <w:szCs w:val="20"/>
              </w:rPr>
            </w:pPr>
            <w:r>
              <w:rPr>
                <w:rFonts w:hint="eastAsia" w:ascii="宋体" w:hAnsi="宋体" w:cs="宋体"/>
                <w:kern w:val="0"/>
                <w:sz w:val="20"/>
                <w:szCs w:val="20"/>
              </w:rPr>
              <w:t>项目资金</w:t>
            </w:r>
            <w:r>
              <w:rPr>
                <w:rFonts w:hint="eastAsia" w:ascii="宋体" w:hAnsi="宋体" w:cs="宋体"/>
                <w:kern w:val="0"/>
                <w:sz w:val="20"/>
                <w:szCs w:val="20"/>
              </w:rPr>
              <w:br w:type="textWrapping"/>
            </w:r>
            <w:r>
              <w:rPr>
                <w:rFonts w:hint="eastAsia" w:ascii="宋体" w:hAnsi="宋体" w:cs="宋体"/>
                <w:kern w:val="0"/>
                <w:sz w:val="20"/>
                <w:szCs w:val="20"/>
              </w:rPr>
              <w:t>（万元）</w:t>
            </w:r>
          </w:p>
        </w:tc>
        <w:tc>
          <w:tcPr>
            <w:tcW w:w="907" w:type="pct"/>
            <w:gridSpan w:val="2"/>
            <w:tcBorders>
              <w:top w:val="single" w:color="auto" w:sz="4" w:space="0"/>
              <w:left w:val="nil"/>
              <w:bottom w:val="single" w:color="auto" w:sz="4" w:space="0"/>
              <w:right w:val="single" w:color="auto" w:sz="4" w:space="0"/>
            </w:tcBorders>
            <w:shd w:val="clear" w:color="auto" w:fill="auto"/>
            <w:vAlign w:val="center"/>
          </w:tcPr>
          <w:p w14:paraId="0604C4B9">
            <w:pPr>
              <w:widowControl/>
              <w:jc w:val="center"/>
              <w:rPr>
                <w:rFonts w:hint="eastAsia" w:ascii="宋体" w:hAnsi="宋体" w:cs="宋体"/>
                <w:kern w:val="0"/>
                <w:sz w:val="20"/>
                <w:szCs w:val="20"/>
              </w:rPr>
            </w:pPr>
            <w:r>
              <w:rPr>
                <w:rFonts w:hint="eastAsia" w:ascii="宋体" w:hAnsi="宋体" w:cs="宋体"/>
                <w:kern w:val="0"/>
                <w:sz w:val="20"/>
                <w:szCs w:val="20"/>
              </w:rPr>
              <w:t>　</w:t>
            </w:r>
          </w:p>
        </w:tc>
        <w:tc>
          <w:tcPr>
            <w:tcW w:w="612" w:type="pct"/>
            <w:tcBorders>
              <w:top w:val="nil"/>
              <w:left w:val="nil"/>
              <w:bottom w:val="single" w:color="auto" w:sz="4" w:space="0"/>
              <w:right w:val="single" w:color="auto" w:sz="4" w:space="0"/>
            </w:tcBorders>
            <w:shd w:val="clear" w:color="auto" w:fill="auto"/>
            <w:vAlign w:val="center"/>
          </w:tcPr>
          <w:p w14:paraId="7FFBA254">
            <w:pPr>
              <w:widowControl/>
              <w:jc w:val="center"/>
              <w:rPr>
                <w:rFonts w:hint="eastAsia" w:ascii="宋体" w:hAnsi="宋体" w:cs="宋体"/>
                <w:kern w:val="0"/>
                <w:sz w:val="20"/>
                <w:szCs w:val="20"/>
              </w:rPr>
            </w:pPr>
            <w:r>
              <w:rPr>
                <w:rFonts w:hint="eastAsia" w:ascii="宋体" w:hAnsi="宋体" w:cs="宋体"/>
                <w:kern w:val="0"/>
                <w:sz w:val="20"/>
                <w:szCs w:val="20"/>
              </w:rPr>
              <w:t>年初预算数</w:t>
            </w:r>
          </w:p>
        </w:tc>
        <w:tc>
          <w:tcPr>
            <w:tcW w:w="870" w:type="pct"/>
            <w:gridSpan w:val="2"/>
            <w:tcBorders>
              <w:top w:val="single" w:color="auto" w:sz="4" w:space="0"/>
              <w:left w:val="nil"/>
              <w:bottom w:val="single" w:color="auto" w:sz="4" w:space="0"/>
              <w:right w:val="single" w:color="auto" w:sz="4" w:space="0"/>
            </w:tcBorders>
            <w:shd w:val="clear" w:color="auto" w:fill="auto"/>
            <w:vAlign w:val="center"/>
          </w:tcPr>
          <w:p w14:paraId="738F6866">
            <w:pPr>
              <w:widowControl/>
              <w:jc w:val="center"/>
              <w:rPr>
                <w:rFonts w:hint="eastAsia" w:ascii="宋体" w:hAnsi="宋体" w:cs="宋体"/>
                <w:kern w:val="0"/>
                <w:sz w:val="20"/>
                <w:szCs w:val="20"/>
              </w:rPr>
            </w:pPr>
            <w:r>
              <w:rPr>
                <w:rFonts w:hint="eastAsia" w:ascii="宋体" w:hAnsi="宋体" w:cs="宋体"/>
                <w:kern w:val="0"/>
                <w:sz w:val="20"/>
                <w:szCs w:val="20"/>
              </w:rPr>
              <w:t>全年预算数</w:t>
            </w:r>
          </w:p>
        </w:tc>
        <w:tc>
          <w:tcPr>
            <w:tcW w:w="582" w:type="pct"/>
            <w:gridSpan w:val="2"/>
            <w:tcBorders>
              <w:top w:val="single" w:color="auto" w:sz="4" w:space="0"/>
              <w:left w:val="nil"/>
              <w:bottom w:val="single" w:color="auto" w:sz="4" w:space="0"/>
              <w:right w:val="single" w:color="auto" w:sz="4" w:space="0"/>
            </w:tcBorders>
            <w:shd w:val="clear" w:color="auto" w:fill="auto"/>
            <w:vAlign w:val="center"/>
          </w:tcPr>
          <w:p w14:paraId="5FA502DF">
            <w:pPr>
              <w:widowControl/>
              <w:jc w:val="center"/>
              <w:rPr>
                <w:rFonts w:hint="eastAsia" w:ascii="宋体" w:hAnsi="宋体" w:cs="宋体"/>
                <w:kern w:val="0"/>
                <w:sz w:val="20"/>
                <w:szCs w:val="20"/>
              </w:rPr>
            </w:pPr>
            <w:r>
              <w:rPr>
                <w:rFonts w:hint="eastAsia" w:ascii="宋体" w:hAnsi="宋体" w:cs="宋体"/>
                <w:kern w:val="0"/>
                <w:sz w:val="20"/>
                <w:szCs w:val="20"/>
              </w:rPr>
              <w:t>全年执行数</w:t>
            </w:r>
          </w:p>
        </w:tc>
        <w:tc>
          <w:tcPr>
            <w:tcW w:w="377" w:type="pct"/>
            <w:gridSpan w:val="2"/>
            <w:tcBorders>
              <w:top w:val="single" w:color="auto" w:sz="4" w:space="0"/>
              <w:left w:val="nil"/>
              <w:bottom w:val="single" w:color="auto" w:sz="4" w:space="0"/>
              <w:right w:val="single" w:color="auto" w:sz="4" w:space="0"/>
            </w:tcBorders>
            <w:shd w:val="clear" w:color="auto" w:fill="auto"/>
            <w:vAlign w:val="center"/>
          </w:tcPr>
          <w:p w14:paraId="586BFB8D">
            <w:pPr>
              <w:widowControl/>
              <w:jc w:val="center"/>
              <w:rPr>
                <w:rFonts w:hint="eastAsia" w:ascii="宋体" w:hAnsi="宋体" w:cs="宋体"/>
                <w:kern w:val="0"/>
                <w:sz w:val="20"/>
                <w:szCs w:val="20"/>
              </w:rPr>
            </w:pPr>
            <w:r>
              <w:rPr>
                <w:rFonts w:hint="eastAsia" w:ascii="宋体" w:hAnsi="宋体" w:cs="宋体"/>
                <w:kern w:val="0"/>
                <w:sz w:val="20"/>
                <w:szCs w:val="20"/>
              </w:rPr>
              <w:t>分值</w:t>
            </w:r>
          </w:p>
        </w:tc>
        <w:tc>
          <w:tcPr>
            <w:tcW w:w="537" w:type="pct"/>
            <w:gridSpan w:val="2"/>
            <w:tcBorders>
              <w:top w:val="single" w:color="auto" w:sz="4" w:space="0"/>
              <w:left w:val="nil"/>
              <w:bottom w:val="single" w:color="auto" w:sz="4" w:space="0"/>
              <w:right w:val="single" w:color="auto" w:sz="4" w:space="0"/>
            </w:tcBorders>
            <w:shd w:val="clear" w:color="auto" w:fill="auto"/>
            <w:vAlign w:val="center"/>
          </w:tcPr>
          <w:p w14:paraId="419E488F">
            <w:pPr>
              <w:widowControl/>
              <w:jc w:val="center"/>
              <w:rPr>
                <w:rFonts w:hint="eastAsia" w:ascii="宋体" w:hAnsi="宋体" w:cs="宋体"/>
                <w:kern w:val="0"/>
                <w:sz w:val="20"/>
                <w:szCs w:val="20"/>
              </w:rPr>
            </w:pPr>
            <w:r>
              <w:rPr>
                <w:rFonts w:hint="eastAsia" w:ascii="宋体" w:hAnsi="宋体" w:cs="宋体"/>
                <w:kern w:val="0"/>
                <w:sz w:val="20"/>
                <w:szCs w:val="20"/>
              </w:rPr>
              <w:t>执行率</w:t>
            </w:r>
          </w:p>
        </w:tc>
        <w:tc>
          <w:tcPr>
            <w:tcW w:w="420" w:type="pct"/>
            <w:tcBorders>
              <w:top w:val="nil"/>
              <w:left w:val="nil"/>
              <w:bottom w:val="single" w:color="auto" w:sz="4" w:space="0"/>
              <w:right w:val="single" w:color="auto" w:sz="4" w:space="0"/>
            </w:tcBorders>
            <w:shd w:val="clear" w:color="auto" w:fill="auto"/>
            <w:vAlign w:val="center"/>
          </w:tcPr>
          <w:p w14:paraId="705264D9">
            <w:pPr>
              <w:widowControl/>
              <w:jc w:val="center"/>
              <w:rPr>
                <w:rFonts w:hint="eastAsia" w:ascii="宋体" w:hAnsi="宋体" w:cs="宋体"/>
                <w:kern w:val="0"/>
                <w:sz w:val="20"/>
                <w:szCs w:val="20"/>
              </w:rPr>
            </w:pPr>
            <w:r>
              <w:rPr>
                <w:rFonts w:hint="eastAsia" w:ascii="宋体" w:hAnsi="宋体" w:cs="宋体"/>
                <w:kern w:val="0"/>
                <w:sz w:val="20"/>
                <w:szCs w:val="20"/>
              </w:rPr>
              <w:t>得分</w:t>
            </w:r>
          </w:p>
        </w:tc>
      </w:tr>
      <w:tr w14:paraId="75C6D371">
        <w:tblPrEx>
          <w:tblCellMar>
            <w:top w:w="0" w:type="dxa"/>
            <w:left w:w="108" w:type="dxa"/>
            <w:bottom w:w="0" w:type="dxa"/>
            <w:right w:w="108" w:type="dxa"/>
          </w:tblCellMar>
        </w:tblPrEx>
        <w:trPr>
          <w:gridAfter w:val="1"/>
          <w:wAfter w:w="130" w:type="pct"/>
          <w:trHeight w:val="439" w:hRule="atLeast"/>
        </w:trPr>
        <w:tc>
          <w:tcPr>
            <w:tcW w:w="564" w:type="pct"/>
            <w:gridSpan w:val="2"/>
            <w:vMerge w:val="continue"/>
            <w:tcBorders>
              <w:top w:val="single" w:color="auto" w:sz="4" w:space="0"/>
              <w:left w:val="single" w:color="auto" w:sz="4" w:space="0"/>
              <w:bottom w:val="single" w:color="auto" w:sz="4" w:space="0"/>
              <w:right w:val="single" w:color="auto" w:sz="4" w:space="0"/>
            </w:tcBorders>
            <w:vAlign w:val="center"/>
          </w:tcPr>
          <w:p w14:paraId="58A41070">
            <w:pPr>
              <w:widowControl/>
              <w:jc w:val="left"/>
              <w:rPr>
                <w:rFonts w:hint="eastAsia" w:ascii="宋体" w:hAnsi="宋体" w:cs="宋体"/>
                <w:kern w:val="0"/>
                <w:sz w:val="20"/>
                <w:szCs w:val="20"/>
              </w:rPr>
            </w:pPr>
          </w:p>
        </w:tc>
        <w:tc>
          <w:tcPr>
            <w:tcW w:w="907" w:type="pct"/>
            <w:gridSpan w:val="2"/>
            <w:tcBorders>
              <w:top w:val="single" w:color="auto" w:sz="4" w:space="0"/>
              <w:left w:val="nil"/>
              <w:bottom w:val="single" w:color="auto" w:sz="4" w:space="0"/>
              <w:right w:val="single" w:color="auto" w:sz="4" w:space="0"/>
            </w:tcBorders>
            <w:shd w:val="clear" w:color="auto" w:fill="auto"/>
            <w:vAlign w:val="center"/>
          </w:tcPr>
          <w:p w14:paraId="29177CF1">
            <w:pPr>
              <w:widowControl/>
              <w:jc w:val="center"/>
              <w:rPr>
                <w:rFonts w:hint="eastAsia" w:ascii="宋体" w:hAnsi="宋体" w:cs="宋体"/>
                <w:kern w:val="0"/>
                <w:sz w:val="20"/>
                <w:szCs w:val="20"/>
              </w:rPr>
            </w:pPr>
            <w:r>
              <w:rPr>
                <w:rFonts w:hint="eastAsia" w:ascii="宋体" w:hAnsi="宋体" w:cs="宋体"/>
                <w:kern w:val="0"/>
                <w:sz w:val="20"/>
                <w:szCs w:val="20"/>
              </w:rPr>
              <w:t>年度资金总额</w:t>
            </w:r>
          </w:p>
        </w:tc>
        <w:tc>
          <w:tcPr>
            <w:tcW w:w="612" w:type="pct"/>
            <w:tcBorders>
              <w:top w:val="nil"/>
              <w:left w:val="nil"/>
              <w:bottom w:val="single" w:color="auto" w:sz="4" w:space="0"/>
              <w:right w:val="single" w:color="auto" w:sz="4" w:space="0"/>
            </w:tcBorders>
            <w:shd w:val="clear" w:color="auto" w:fill="auto"/>
            <w:vAlign w:val="center"/>
          </w:tcPr>
          <w:p w14:paraId="052104BE">
            <w:pPr>
              <w:widowControl/>
              <w:jc w:val="center"/>
              <w:rPr>
                <w:rFonts w:hint="eastAsia" w:ascii="宋体" w:hAnsi="宋体" w:cs="宋体"/>
                <w:kern w:val="0"/>
                <w:sz w:val="20"/>
                <w:szCs w:val="20"/>
              </w:rPr>
            </w:pPr>
            <w:r>
              <w:rPr>
                <w:rFonts w:hint="eastAsia" w:ascii="宋体" w:hAnsi="宋体" w:cs="宋体"/>
                <w:kern w:val="0"/>
                <w:sz w:val="20"/>
                <w:szCs w:val="20"/>
              </w:rPr>
              <w:t xml:space="preserve">215.00 </w:t>
            </w:r>
          </w:p>
        </w:tc>
        <w:tc>
          <w:tcPr>
            <w:tcW w:w="870" w:type="pct"/>
            <w:gridSpan w:val="2"/>
            <w:tcBorders>
              <w:top w:val="single" w:color="auto" w:sz="4" w:space="0"/>
              <w:left w:val="nil"/>
              <w:bottom w:val="single" w:color="auto" w:sz="4" w:space="0"/>
              <w:right w:val="single" w:color="auto" w:sz="4" w:space="0"/>
            </w:tcBorders>
            <w:shd w:val="clear" w:color="auto" w:fill="auto"/>
            <w:vAlign w:val="center"/>
          </w:tcPr>
          <w:p w14:paraId="5EBFA2AC">
            <w:pPr>
              <w:widowControl/>
              <w:jc w:val="center"/>
              <w:rPr>
                <w:rFonts w:hint="eastAsia" w:ascii="宋体" w:hAnsi="宋体" w:cs="宋体"/>
                <w:kern w:val="0"/>
                <w:sz w:val="20"/>
                <w:szCs w:val="20"/>
              </w:rPr>
            </w:pPr>
            <w:r>
              <w:rPr>
                <w:rFonts w:hint="eastAsia" w:ascii="宋体" w:hAnsi="宋体" w:cs="宋体"/>
                <w:kern w:val="0"/>
                <w:sz w:val="20"/>
                <w:szCs w:val="20"/>
              </w:rPr>
              <w:t xml:space="preserve">248.14 </w:t>
            </w:r>
          </w:p>
        </w:tc>
        <w:tc>
          <w:tcPr>
            <w:tcW w:w="582" w:type="pct"/>
            <w:gridSpan w:val="2"/>
            <w:tcBorders>
              <w:top w:val="single" w:color="auto" w:sz="4" w:space="0"/>
              <w:left w:val="nil"/>
              <w:bottom w:val="single" w:color="auto" w:sz="4" w:space="0"/>
              <w:right w:val="single" w:color="auto" w:sz="4" w:space="0"/>
            </w:tcBorders>
            <w:shd w:val="clear" w:color="auto" w:fill="auto"/>
            <w:vAlign w:val="center"/>
          </w:tcPr>
          <w:p w14:paraId="78D07C6B">
            <w:pPr>
              <w:widowControl/>
              <w:jc w:val="center"/>
              <w:rPr>
                <w:rFonts w:hint="eastAsia" w:ascii="宋体" w:hAnsi="宋体" w:cs="宋体"/>
                <w:kern w:val="0"/>
                <w:sz w:val="20"/>
                <w:szCs w:val="20"/>
              </w:rPr>
            </w:pPr>
            <w:r>
              <w:rPr>
                <w:rFonts w:hint="eastAsia" w:ascii="宋体" w:hAnsi="宋体" w:cs="宋体"/>
                <w:kern w:val="0"/>
                <w:sz w:val="20"/>
                <w:szCs w:val="20"/>
              </w:rPr>
              <w:t xml:space="preserve">248.14 </w:t>
            </w:r>
          </w:p>
        </w:tc>
        <w:tc>
          <w:tcPr>
            <w:tcW w:w="377" w:type="pct"/>
            <w:gridSpan w:val="2"/>
            <w:tcBorders>
              <w:top w:val="single" w:color="auto" w:sz="4" w:space="0"/>
              <w:left w:val="nil"/>
              <w:bottom w:val="single" w:color="auto" w:sz="4" w:space="0"/>
              <w:right w:val="single" w:color="auto" w:sz="4" w:space="0"/>
            </w:tcBorders>
            <w:shd w:val="clear" w:color="auto" w:fill="auto"/>
            <w:vAlign w:val="center"/>
          </w:tcPr>
          <w:p w14:paraId="71421033">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537" w:type="pct"/>
            <w:gridSpan w:val="2"/>
            <w:tcBorders>
              <w:top w:val="single" w:color="auto" w:sz="4" w:space="0"/>
              <w:left w:val="nil"/>
              <w:bottom w:val="single" w:color="auto" w:sz="4" w:space="0"/>
              <w:right w:val="single" w:color="auto" w:sz="4" w:space="0"/>
            </w:tcBorders>
            <w:shd w:val="clear" w:color="auto" w:fill="auto"/>
            <w:vAlign w:val="center"/>
          </w:tcPr>
          <w:p w14:paraId="0E747422">
            <w:pPr>
              <w:widowControl/>
              <w:jc w:val="center"/>
              <w:rPr>
                <w:rFonts w:hint="eastAsia" w:ascii="宋体" w:hAnsi="宋体" w:cs="宋体"/>
                <w:kern w:val="0"/>
                <w:sz w:val="20"/>
                <w:szCs w:val="20"/>
              </w:rPr>
            </w:pPr>
            <w:r>
              <w:rPr>
                <w:rFonts w:hint="eastAsia" w:ascii="宋体" w:hAnsi="宋体" w:cs="宋体"/>
                <w:kern w:val="0"/>
                <w:sz w:val="20"/>
                <w:szCs w:val="20"/>
              </w:rPr>
              <w:t>100.00%</w:t>
            </w:r>
          </w:p>
        </w:tc>
        <w:tc>
          <w:tcPr>
            <w:tcW w:w="420" w:type="pct"/>
            <w:tcBorders>
              <w:top w:val="nil"/>
              <w:left w:val="nil"/>
              <w:bottom w:val="single" w:color="auto" w:sz="4" w:space="0"/>
              <w:right w:val="single" w:color="auto" w:sz="4" w:space="0"/>
            </w:tcBorders>
            <w:shd w:val="clear" w:color="auto" w:fill="auto"/>
            <w:vAlign w:val="center"/>
          </w:tcPr>
          <w:p w14:paraId="2497FCB8">
            <w:pPr>
              <w:widowControl/>
              <w:jc w:val="center"/>
              <w:rPr>
                <w:rFonts w:hint="eastAsia" w:ascii="宋体" w:hAnsi="宋体" w:cs="宋体"/>
                <w:kern w:val="0"/>
                <w:sz w:val="20"/>
                <w:szCs w:val="20"/>
              </w:rPr>
            </w:pPr>
            <w:r>
              <w:rPr>
                <w:rFonts w:hint="eastAsia" w:ascii="宋体" w:hAnsi="宋体" w:cs="宋体"/>
                <w:kern w:val="0"/>
                <w:sz w:val="20"/>
                <w:szCs w:val="20"/>
              </w:rPr>
              <w:t>10.00</w:t>
            </w:r>
          </w:p>
        </w:tc>
      </w:tr>
      <w:tr w14:paraId="1950C8AA">
        <w:tblPrEx>
          <w:tblCellMar>
            <w:top w:w="0" w:type="dxa"/>
            <w:left w:w="108" w:type="dxa"/>
            <w:bottom w:w="0" w:type="dxa"/>
            <w:right w:w="108" w:type="dxa"/>
          </w:tblCellMar>
        </w:tblPrEx>
        <w:trPr>
          <w:gridAfter w:val="1"/>
          <w:wAfter w:w="130" w:type="pct"/>
          <w:trHeight w:val="439" w:hRule="atLeast"/>
        </w:trPr>
        <w:tc>
          <w:tcPr>
            <w:tcW w:w="564" w:type="pct"/>
            <w:gridSpan w:val="2"/>
            <w:vMerge w:val="continue"/>
            <w:tcBorders>
              <w:top w:val="single" w:color="auto" w:sz="4" w:space="0"/>
              <w:left w:val="single" w:color="auto" w:sz="4" w:space="0"/>
              <w:bottom w:val="single" w:color="auto" w:sz="4" w:space="0"/>
              <w:right w:val="single" w:color="auto" w:sz="4" w:space="0"/>
            </w:tcBorders>
            <w:vAlign w:val="center"/>
          </w:tcPr>
          <w:p w14:paraId="67AA8385">
            <w:pPr>
              <w:widowControl/>
              <w:jc w:val="left"/>
              <w:rPr>
                <w:rFonts w:hint="eastAsia" w:ascii="宋体" w:hAnsi="宋体" w:cs="宋体"/>
                <w:kern w:val="0"/>
                <w:sz w:val="20"/>
                <w:szCs w:val="20"/>
              </w:rPr>
            </w:pPr>
          </w:p>
        </w:tc>
        <w:tc>
          <w:tcPr>
            <w:tcW w:w="907" w:type="pct"/>
            <w:gridSpan w:val="2"/>
            <w:tcBorders>
              <w:top w:val="single" w:color="auto" w:sz="4" w:space="0"/>
              <w:left w:val="nil"/>
              <w:bottom w:val="single" w:color="auto" w:sz="4" w:space="0"/>
              <w:right w:val="single" w:color="auto" w:sz="4" w:space="0"/>
            </w:tcBorders>
            <w:shd w:val="clear" w:color="auto" w:fill="auto"/>
            <w:vAlign w:val="center"/>
          </w:tcPr>
          <w:p w14:paraId="13846DB2">
            <w:pPr>
              <w:widowControl/>
              <w:jc w:val="center"/>
              <w:rPr>
                <w:rFonts w:hint="eastAsia" w:ascii="宋体" w:hAnsi="宋体" w:cs="宋体"/>
                <w:kern w:val="0"/>
                <w:sz w:val="20"/>
                <w:szCs w:val="20"/>
              </w:rPr>
            </w:pPr>
            <w:r>
              <w:rPr>
                <w:rFonts w:hint="eastAsia" w:ascii="宋体" w:hAnsi="宋体" w:cs="宋体"/>
                <w:kern w:val="0"/>
                <w:sz w:val="20"/>
                <w:szCs w:val="20"/>
              </w:rPr>
              <w:t>其中：当年财政拨款</w:t>
            </w:r>
          </w:p>
        </w:tc>
        <w:tc>
          <w:tcPr>
            <w:tcW w:w="612" w:type="pct"/>
            <w:tcBorders>
              <w:top w:val="nil"/>
              <w:left w:val="nil"/>
              <w:bottom w:val="single" w:color="auto" w:sz="4" w:space="0"/>
              <w:right w:val="single" w:color="auto" w:sz="4" w:space="0"/>
            </w:tcBorders>
            <w:shd w:val="clear" w:color="auto" w:fill="auto"/>
            <w:vAlign w:val="center"/>
          </w:tcPr>
          <w:p w14:paraId="5A70FA1D">
            <w:pPr>
              <w:widowControl/>
              <w:jc w:val="center"/>
              <w:rPr>
                <w:rFonts w:hint="eastAsia" w:ascii="宋体" w:hAnsi="宋体" w:cs="宋体"/>
                <w:kern w:val="0"/>
                <w:sz w:val="20"/>
                <w:szCs w:val="20"/>
              </w:rPr>
            </w:pPr>
            <w:r>
              <w:rPr>
                <w:rFonts w:hint="eastAsia" w:ascii="宋体" w:hAnsi="宋体" w:cs="宋体"/>
                <w:kern w:val="0"/>
                <w:sz w:val="20"/>
                <w:szCs w:val="20"/>
              </w:rPr>
              <w:t xml:space="preserve">215.00 </w:t>
            </w:r>
          </w:p>
        </w:tc>
        <w:tc>
          <w:tcPr>
            <w:tcW w:w="870" w:type="pct"/>
            <w:gridSpan w:val="2"/>
            <w:tcBorders>
              <w:top w:val="single" w:color="auto" w:sz="4" w:space="0"/>
              <w:left w:val="nil"/>
              <w:bottom w:val="single" w:color="auto" w:sz="4" w:space="0"/>
              <w:right w:val="single" w:color="auto" w:sz="4" w:space="0"/>
            </w:tcBorders>
            <w:shd w:val="clear" w:color="auto" w:fill="auto"/>
            <w:vAlign w:val="center"/>
          </w:tcPr>
          <w:p w14:paraId="3B380A12">
            <w:pPr>
              <w:widowControl/>
              <w:jc w:val="center"/>
              <w:rPr>
                <w:rFonts w:hint="eastAsia" w:ascii="宋体" w:hAnsi="宋体" w:cs="宋体"/>
                <w:kern w:val="0"/>
                <w:sz w:val="20"/>
                <w:szCs w:val="20"/>
              </w:rPr>
            </w:pPr>
            <w:r>
              <w:rPr>
                <w:rFonts w:hint="eastAsia" w:ascii="宋体" w:hAnsi="宋体" w:cs="宋体"/>
                <w:kern w:val="0"/>
                <w:sz w:val="20"/>
                <w:szCs w:val="20"/>
              </w:rPr>
              <w:t xml:space="preserve">248.14 </w:t>
            </w:r>
          </w:p>
        </w:tc>
        <w:tc>
          <w:tcPr>
            <w:tcW w:w="582" w:type="pct"/>
            <w:gridSpan w:val="2"/>
            <w:tcBorders>
              <w:top w:val="single" w:color="auto" w:sz="4" w:space="0"/>
              <w:left w:val="nil"/>
              <w:bottom w:val="single" w:color="auto" w:sz="4" w:space="0"/>
              <w:right w:val="single" w:color="auto" w:sz="4" w:space="0"/>
            </w:tcBorders>
            <w:shd w:val="clear" w:color="auto" w:fill="auto"/>
            <w:vAlign w:val="center"/>
          </w:tcPr>
          <w:p w14:paraId="6FE71EB7">
            <w:pPr>
              <w:widowControl/>
              <w:jc w:val="center"/>
              <w:rPr>
                <w:rFonts w:hint="eastAsia" w:ascii="宋体" w:hAnsi="宋体" w:cs="宋体"/>
                <w:kern w:val="0"/>
                <w:sz w:val="20"/>
                <w:szCs w:val="20"/>
              </w:rPr>
            </w:pPr>
            <w:r>
              <w:rPr>
                <w:rFonts w:hint="eastAsia" w:ascii="宋体" w:hAnsi="宋体" w:cs="宋体"/>
                <w:kern w:val="0"/>
                <w:sz w:val="20"/>
                <w:szCs w:val="20"/>
              </w:rPr>
              <w:t xml:space="preserve">248.14 </w:t>
            </w:r>
          </w:p>
        </w:tc>
        <w:tc>
          <w:tcPr>
            <w:tcW w:w="377" w:type="pct"/>
            <w:gridSpan w:val="2"/>
            <w:tcBorders>
              <w:top w:val="single" w:color="auto" w:sz="4" w:space="0"/>
              <w:left w:val="nil"/>
              <w:bottom w:val="single" w:color="auto" w:sz="4" w:space="0"/>
              <w:right w:val="single" w:color="auto" w:sz="4" w:space="0"/>
            </w:tcBorders>
            <w:shd w:val="clear" w:color="auto" w:fill="auto"/>
            <w:vAlign w:val="center"/>
          </w:tcPr>
          <w:p w14:paraId="10924BF1">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537" w:type="pct"/>
            <w:gridSpan w:val="2"/>
            <w:tcBorders>
              <w:top w:val="single" w:color="auto" w:sz="4" w:space="0"/>
              <w:left w:val="nil"/>
              <w:bottom w:val="single" w:color="auto" w:sz="4" w:space="0"/>
              <w:right w:val="single" w:color="auto" w:sz="4" w:space="0"/>
            </w:tcBorders>
            <w:shd w:val="clear" w:color="auto" w:fill="auto"/>
            <w:vAlign w:val="center"/>
          </w:tcPr>
          <w:p w14:paraId="577820F6">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420" w:type="pct"/>
            <w:tcBorders>
              <w:top w:val="nil"/>
              <w:left w:val="nil"/>
              <w:bottom w:val="single" w:color="auto" w:sz="4" w:space="0"/>
              <w:right w:val="single" w:color="auto" w:sz="4" w:space="0"/>
            </w:tcBorders>
            <w:shd w:val="clear" w:color="auto" w:fill="auto"/>
            <w:vAlign w:val="center"/>
          </w:tcPr>
          <w:p w14:paraId="369550FD">
            <w:pPr>
              <w:widowControl/>
              <w:jc w:val="center"/>
              <w:rPr>
                <w:rFonts w:hint="eastAsia" w:ascii="宋体" w:hAnsi="宋体" w:cs="宋体"/>
                <w:kern w:val="0"/>
                <w:sz w:val="20"/>
                <w:szCs w:val="20"/>
              </w:rPr>
            </w:pPr>
            <w:r>
              <w:rPr>
                <w:rFonts w:hint="eastAsia" w:ascii="宋体" w:hAnsi="宋体" w:cs="宋体"/>
                <w:kern w:val="0"/>
                <w:sz w:val="20"/>
                <w:szCs w:val="20"/>
              </w:rPr>
              <w:t>—</w:t>
            </w:r>
          </w:p>
        </w:tc>
      </w:tr>
      <w:tr w14:paraId="19266D65">
        <w:tblPrEx>
          <w:tblCellMar>
            <w:top w:w="0" w:type="dxa"/>
            <w:left w:w="108" w:type="dxa"/>
            <w:bottom w:w="0" w:type="dxa"/>
            <w:right w:w="108" w:type="dxa"/>
          </w:tblCellMar>
        </w:tblPrEx>
        <w:trPr>
          <w:gridAfter w:val="1"/>
          <w:wAfter w:w="130" w:type="pct"/>
          <w:trHeight w:val="439" w:hRule="atLeast"/>
        </w:trPr>
        <w:tc>
          <w:tcPr>
            <w:tcW w:w="564" w:type="pct"/>
            <w:gridSpan w:val="2"/>
            <w:vMerge w:val="continue"/>
            <w:tcBorders>
              <w:top w:val="single" w:color="auto" w:sz="4" w:space="0"/>
              <w:left w:val="single" w:color="auto" w:sz="4" w:space="0"/>
              <w:bottom w:val="single" w:color="auto" w:sz="4" w:space="0"/>
              <w:right w:val="single" w:color="auto" w:sz="4" w:space="0"/>
            </w:tcBorders>
            <w:vAlign w:val="center"/>
          </w:tcPr>
          <w:p w14:paraId="4B663FE1">
            <w:pPr>
              <w:widowControl/>
              <w:jc w:val="left"/>
              <w:rPr>
                <w:rFonts w:hint="eastAsia" w:ascii="宋体" w:hAnsi="宋体" w:cs="宋体"/>
                <w:kern w:val="0"/>
                <w:sz w:val="20"/>
                <w:szCs w:val="20"/>
              </w:rPr>
            </w:pPr>
          </w:p>
        </w:tc>
        <w:tc>
          <w:tcPr>
            <w:tcW w:w="907" w:type="pct"/>
            <w:gridSpan w:val="2"/>
            <w:tcBorders>
              <w:top w:val="single" w:color="auto" w:sz="4" w:space="0"/>
              <w:left w:val="nil"/>
              <w:bottom w:val="single" w:color="auto" w:sz="4" w:space="0"/>
              <w:right w:val="single" w:color="auto" w:sz="4" w:space="0"/>
            </w:tcBorders>
            <w:shd w:val="clear" w:color="auto" w:fill="auto"/>
            <w:vAlign w:val="center"/>
          </w:tcPr>
          <w:p w14:paraId="2CAD8284">
            <w:pPr>
              <w:widowControl/>
              <w:jc w:val="center"/>
              <w:rPr>
                <w:rFonts w:hint="eastAsia" w:ascii="宋体" w:hAnsi="宋体" w:cs="宋体"/>
                <w:kern w:val="0"/>
                <w:sz w:val="20"/>
                <w:szCs w:val="20"/>
              </w:rPr>
            </w:pPr>
            <w:r>
              <w:rPr>
                <w:rFonts w:hint="eastAsia" w:ascii="宋体" w:hAnsi="宋体" w:cs="宋体"/>
                <w:kern w:val="0"/>
                <w:sz w:val="20"/>
                <w:szCs w:val="20"/>
              </w:rPr>
              <w:t xml:space="preserve">  其他资金</w:t>
            </w:r>
          </w:p>
        </w:tc>
        <w:tc>
          <w:tcPr>
            <w:tcW w:w="612" w:type="pct"/>
            <w:tcBorders>
              <w:top w:val="nil"/>
              <w:left w:val="nil"/>
              <w:bottom w:val="single" w:color="auto" w:sz="4" w:space="0"/>
              <w:right w:val="single" w:color="auto" w:sz="4" w:space="0"/>
            </w:tcBorders>
            <w:shd w:val="clear" w:color="auto" w:fill="auto"/>
            <w:vAlign w:val="center"/>
          </w:tcPr>
          <w:p w14:paraId="1774CB63">
            <w:pPr>
              <w:widowControl/>
              <w:jc w:val="center"/>
              <w:rPr>
                <w:rFonts w:hint="eastAsia" w:ascii="宋体" w:hAnsi="宋体" w:cs="宋体"/>
                <w:kern w:val="0"/>
                <w:sz w:val="20"/>
                <w:szCs w:val="20"/>
              </w:rPr>
            </w:pPr>
            <w:r>
              <w:rPr>
                <w:rFonts w:hint="eastAsia" w:ascii="宋体" w:hAnsi="宋体" w:cs="宋体"/>
                <w:kern w:val="0"/>
                <w:sz w:val="20"/>
                <w:szCs w:val="20"/>
              </w:rPr>
              <w:t xml:space="preserve">0.00 </w:t>
            </w:r>
          </w:p>
        </w:tc>
        <w:tc>
          <w:tcPr>
            <w:tcW w:w="870" w:type="pct"/>
            <w:gridSpan w:val="2"/>
            <w:tcBorders>
              <w:top w:val="single" w:color="auto" w:sz="4" w:space="0"/>
              <w:left w:val="nil"/>
              <w:bottom w:val="single" w:color="auto" w:sz="4" w:space="0"/>
              <w:right w:val="single" w:color="auto" w:sz="4" w:space="0"/>
            </w:tcBorders>
            <w:shd w:val="clear" w:color="auto" w:fill="auto"/>
            <w:vAlign w:val="center"/>
          </w:tcPr>
          <w:p w14:paraId="76AB48BD">
            <w:pPr>
              <w:widowControl/>
              <w:jc w:val="center"/>
              <w:rPr>
                <w:rFonts w:hint="eastAsia" w:ascii="宋体" w:hAnsi="宋体" w:cs="宋体"/>
                <w:kern w:val="0"/>
                <w:sz w:val="20"/>
                <w:szCs w:val="20"/>
              </w:rPr>
            </w:pPr>
            <w:r>
              <w:rPr>
                <w:rFonts w:hint="eastAsia" w:ascii="宋体" w:hAnsi="宋体" w:cs="宋体"/>
                <w:kern w:val="0"/>
                <w:sz w:val="20"/>
                <w:szCs w:val="20"/>
              </w:rPr>
              <w:t xml:space="preserve">0.00 </w:t>
            </w:r>
          </w:p>
        </w:tc>
        <w:tc>
          <w:tcPr>
            <w:tcW w:w="582" w:type="pct"/>
            <w:gridSpan w:val="2"/>
            <w:tcBorders>
              <w:top w:val="single" w:color="auto" w:sz="4" w:space="0"/>
              <w:left w:val="nil"/>
              <w:bottom w:val="single" w:color="auto" w:sz="4" w:space="0"/>
              <w:right w:val="single" w:color="auto" w:sz="4" w:space="0"/>
            </w:tcBorders>
            <w:shd w:val="clear" w:color="auto" w:fill="auto"/>
            <w:vAlign w:val="center"/>
          </w:tcPr>
          <w:p w14:paraId="24126835">
            <w:pPr>
              <w:widowControl/>
              <w:jc w:val="center"/>
              <w:rPr>
                <w:rFonts w:hint="eastAsia" w:ascii="宋体" w:hAnsi="宋体" w:cs="宋体"/>
                <w:kern w:val="0"/>
                <w:sz w:val="20"/>
                <w:szCs w:val="20"/>
              </w:rPr>
            </w:pPr>
            <w:r>
              <w:rPr>
                <w:rFonts w:hint="eastAsia" w:ascii="宋体" w:hAnsi="宋体" w:cs="宋体"/>
                <w:kern w:val="0"/>
                <w:sz w:val="20"/>
                <w:szCs w:val="20"/>
              </w:rPr>
              <w:t xml:space="preserve">0.00 </w:t>
            </w:r>
          </w:p>
        </w:tc>
        <w:tc>
          <w:tcPr>
            <w:tcW w:w="377" w:type="pct"/>
            <w:gridSpan w:val="2"/>
            <w:tcBorders>
              <w:top w:val="single" w:color="auto" w:sz="4" w:space="0"/>
              <w:left w:val="nil"/>
              <w:bottom w:val="single" w:color="auto" w:sz="4" w:space="0"/>
              <w:right w:val="single" w:color="auto" w:sz="4" w:space="0"/>
            </w:tcBorders>
            <w:shd w:val="clear" w:color="auto" w:fill="auto"/>
            <w:vAlign w:val="center"/>
          </w:tcPr>
          <w:p w14:paraId="7134824E">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537" w:type="pct"/>
            <w:gridSpan w:val="2"/>
            <w:tcBorders>
              <w:top w:val="single" w:color="auto" w:sz="4" w:space="0"/>
              <w:left w:val="nil"/>
              <w:bottom w:val="single" w:color="auto" w:sz="4" w:space="0"/>
              <w:right w:val="single" w:color="auto" w:sz="4" w:space="0"/>
            </w:tcBorders>
            <w:shd w:val="clear" w:color="auto" w:fill="auto"/>
            <w:vAlign w:val="center"/>
          </w:tcPr>
          <w:p w14:paraId="0677EE5D">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420" w:type="pct"/>
            <w:tcBorders>
              <w:top w:val="nil"/>
              <w:left w:val="nil"/>
              <w:bottom w:val="single" w:color="auto" w:sz="4" w:space="0"/>
              <w:right w:val="single" w:color="auto" w:sz="4" w:space="0"/>
            </w:tcBorders>
            <w:shd w:val="clear" w:color="auto" w:fill="auto"/>
            <w:vAlign w:val="center"/>
          </w:tcPr>
          <w:p w14:paraId="42001B5C">
            <w:pPr>
              <w:widowControl/>
              <w:jc w:val="center"/>
              <w:rPr>
                <w:rFonts w:hint="eastAsia" w:ascii="宋体" w:hAnsi="宋体" w:cs="宋体"/>
                <w:kern w:val="0"/>
                <w:sz w:val="20"/>
                <w:szCs w:val="20"/>
              </w:rPr>
            </w:pPr>
            <w:r>
              <w:rPr>
                <w:rFonts w:hint="eastAsia" w:ascii="宋体" w:hAnsi="宋体" w:cs="宋体"/>
                <w:kern w:val="0"/>
                <w:sz w:val="20"/>
                <w:szCs w:val="20"/>
              </w:rPr>
              <w:t>—</w:t>
            </w:r>
          </w:p>
        </w:tc>
      </w:tr>
      <w:tr w14:paraId="23B9DD6A">
        <w:tblPrEx>
          <w:tblCellMar>
            <w:top w:w="0" w:type="dxa"/>
            <w:left w:w="108" w:type="dxa"/>
            <w:bottom w:w="0" w:type="dxa"/>
            <w:right w:w="108" w:type="dxa"/>
          </w:tblCellMar>
        </w:tblPrEx>
        <w:trPr>
          <w:gridAfter w:val="1"/>
          <w:wAfter w:w="130" w:type="pct"/>
          <w:trHeight w:val="270" w:hRule="atLeast"/>
        </w:trPr>
        <w:tc>
          <w:tcPr>
            <w:tcW w:w="282" w:type="pct"/>
            <w:vMerge w:val="restart"/>
            <w:tcBorders>
              <w:top w:val="nil"/>
              <w:left w:val="single" w:color="auto" w:sz="4" w:space="0"/>
              <w:bottom w:val="single" w:color="auto" w:sz="4" w:space="0"/>
              <w:right w:val="single" w:color="auto" w:sz="4" w:space="0"/>
            </w:tcBorders>
            <w:shd w:val="clear" w:color="auto" w:fill="auto"/>
            <w:vAlign w:val="center"/>
          </w:tcPr>
          <w:p w14:paraId="723F6E6A">
            <w:pPr>
              <w:widowControl/>
              <w:jc w:val="center"/>
              <w:rPr>
                <w:rFonts w:hint="eastAsia" w:ascii="宋体" w:hAnsi="宋体" w:cs="宋体"/>
                <w:kern w:val="0"/>
                <w:sz w:val="20"/>
                <w:szCs w:val="20"/>
              </w:rPr>
            </w:pPr>
            <w:r>
              <w:rPr>
                <w:rFonts w:hint="eastAsia" w:ascii="宋体" w:hAnsi="宋体" w:cs="宋体"/>
                <w:kern w:val="0"/>
                <w:sz w:val="20"/>
                <w:szCs w:val="20"/>
              </w:rPr>
              <w:t>年度总体目标</w:t>
            </w:r>
          </w:p>
        </w:tc>
        <w:tc>
          <w:tcPr>
            <w:tcW w:w="2671" w:type="pct"/>
            <w:gridSpan w:val="6"/>
            <w:tcBorders>
              <w:top w:val="single" w:color="auto" w:sz="4" w:space="0"/>
              <w:left w:val="nil"/>
              <w:bottom w:val="single" w:color="auto" w:sz="4" w:space="0"/>
              <w:right w:val="single" w:color="auto" w:sz="4" w:space="0"/>
            </w:tcBorders>
            <w:shd w:val="clear" w:color="auto" w:fill="auto"/>
            <w:vAlign w:val="center"/>
          </w:tcPr>
          <w:p w14:paraId="067BD797">
            <w:pPr>
              <w:widowControl/>
              <w:jc w:val="center"/>
              <w:rPr>
                <w:rFonts w:hint="eastAsia" w:ascii="宋体" w:hAnsi="宋体" w:cs="宋体"/>
                <w:kern w:val="0"/>
                <w:sz w:val="20"/>
                <w:szCs w:val="20"/>
              </w:rPr>
            </w:pPr>
            <w:r>
              <w:rPr>
                <w:rFonts w:hint="eastAsia" w:ascii="宋体" w:hAnsi="宋体" w:cs="宋体"/>
                <w:kern w:val="0"/>
                <w:sz w:val="20"/>
                <w:szCs w:val="20"/>
              </w:rPr>
              <w:t>预期目标</w:t>
            </w:r>
          </w:p>
        </w:tc>
        <w:tc>
          <w:tcPr>
            <w:tcW w:w="1917" w:type="pct"/>
            <w:gridSpan w:val="7"/>
            <w:tcBorders>
              <w:top w:val="single" w:color="auto" w:sz="4" w:space="0"/>
              <w:left w:val="nil"/>
              <w:bottom w:val="single" w:color="auto" w:sz="4" w:space="0"/>
              <w:right w:val="single" w:color="auto" w:sz="4" w:space="0"/>
            </w:tcBorders>
            <w:shd w:val="clear" w:color="auto" w:fill="auto"/>
            <w:vAlign w:val="center"/>
          </w:tcPr>
          <w:p w14:paraId="580A71BA">
            <w:pPr>
              <w:widowControl/>
              <w:jc w:val="center"/>
              <w:rPr>
                <w:rFonts w:hint="eastAsia" w:ascii="宋体" w:hAnsi="宋体" w:cs="宋体"/>
                <w:kern w:val="0"/>
                <w:sz w:val="20"/>
                <w:szCs w:val="20"/>
              </w:rPr>
            </w:pPr>
            <w:r>
              <w:rPr>
                <w:rFonts w:hint="eastAsia" w:ascii="宋体" w:hAnsi="宋体" w:cs="宋体"/>
                <w:kern w:val="0"/>
                <w:sz w:val="20"/>
                <w:szCs w:val="20"/>
              </w:rPr>
              <w:t>实际完成情况</w:t>
            </w:r>
          </w:p>
        </w:tc>
      </w:tr>
      <w:tr w14:paraId="5655CFB3">
        <w:tblPrEx>
          <w:tblCellMar>
            <w:top w:w="0" w:type="dxa"/>
            <w:left w:w="108" w:type="dxa"/>
            <w:bottom w:w="0" w:type="dxa"/>
            <w:right w:w="108" w:type="dxa"/>
          </w:tblCellMar>
        </w:tblPrEx>
        <w:trPr>
          <w:gridAfter w:val="1"/>
          <w:wAfter w:w="130" w:type="pct"/>
          <w:trHeight w:val="540" w:hRule="atLeast"/>
        </w:trPr>
        <w:tc>
          <w:tcPr>
            <w:tcW w:w="282" w:type="pct"/>
            <w:vMerge w:val="continue"/>
            <w:tcBorders>
              <w:top w:val="nil"/>
              <w:left w:val="single" w:color="auto" w:sz="4" w:space="0"/>
              <w:bottom w:val="single" w:color="auto" w:sz="4" w:space="0"/>
              <w:right w:val="single" w:color="auto" w:sz="4" w:space="0"/>
            </w:tcBorders>
            <w:vAlign w:val="center"/>
          </w:tcPr>
          <w:p w14:paraId="2C6FF41D">
            <w:pPr>
              <w:widowControl/>
              <w:jc w:val="left"/>
              <w:rPr>
                <w:rFonts w:hint="eastAsia" w:ascii="宋体" w:hAnsi="宋体" w:cs="宋体"/>
                <w:kern w:val="0"/>
                <w:sz w:val="20"/>
                <w:szCs w:val="20"/>
              </w:rPr>
            </w:pPr>
          </w:p>
        </w:tc>
        <w:tc>
          <w:tcPr>
            <w:tcW w:w="2671" w:type="pct"/>
            <w:gridSpan w:val="6"/>
            <w:tcBorders>
              <w:top w:val="single" w:color="auto" w:sz="4" w:space="0"/>
              <w:left w:val="nil"/>
              <w:bottom w:val="single" w:color="auto" w:sz="4" w:space="0"/>
              <w:right w:val="single" w:color="000000" w:sz="4" w:space="0"/>
            </w:tcBorders>
            <w:shd w:val="clear" w:color="auto" w:fill="auto"/>
          </w:tcPr>
          <w:p w14:paraId="5DF4D6BF">
            <w:pPr>
              <w:widowControl/>
              <w:jc w:val="left"/>
              <w:rPr>
                <w:rFonts w:hint="eastAsia" w:ascii="宋体" w:hAnsi="宋体" w:cs="宋体"/>
                <w:kern w:val="0"/>
                <w:sz w:val="20"/>
                <w:szCs w:val="20"/>
              </w:rPr>
            </w:pPr>
            <w:r>
              <w:rPr>
                <w:rFonts w:hint="eastAsia" w:ascii="宋体" w:hAnsi="宋体" w:cs="宋体"/>
                <w:kern w:val="0"/>
                <w:sz w:val="20"/>
                <w:szCs w:val="20"/>
              </w:rPr>
              <w:t>优抚对象补助资金主要用于保障优抚对象的生活水平不低于当地居民的平均生活水平，解决优抚对象生活困难的问题。按标准、按要求及时足额发放抚恤补助金。这项保障措施，可以促进社会公平，切实维护好全区优抚对象的生活权益，为我们优抚对象提供服务和帮助，充分发挥了拥军优属的光荣传统。对聚焦总目标，维护新疆社会稳定和长治久安有着特殊的重要作用。</w:t>
            </w:r>
          </w:p>
        </w:tc>
        <w:tc>
          <w:tcPr>
            <w:tcW w:w="1917" w:type="pct"/>
            <w:gridSpan w:val="7"/>
            <w:tcBorders>
              <w:top w:val="single" w:color="auto" w:sz="4" w:space="0"/>
              <w:left w:val="nil"/>
              <w:bottom w:val="single" w:color="auto" w:sz="4" w:space="0"/>
              <w:right w:val="single" w:color="000000" w:sz="4" w:space="0"/>
            </w:tcBorders>
            <w:shd w:val="clear" w:color="auto" w:fill="auto"/>
          </w:tcPr>
          <w:p w14:paraId="14DF51E7">
            <w:pPr>
              <w:widowControl/>
              <w:jc w:val="left"/>
              <w:rPr>
                <w:rFonts w:hint="eastAsia" w:ascii="宋体" w:hAnsi="宋体" w:cs="宋体"/>
                <w:kern w:val="0"/>
                <w:sz w:val="20"/>
                <w:szCs w:val="20"/>
              </w:rPr>
            </w:pPr>
            <w:r>
              <w:rPr>
                <w:rFonts w:hint="eastAsia" w:ascii="宋体" w:hAnsi="宋体" w:cs="宋体"/>
                <w:kern w:val="0"/>
                <w:sz w:val="20"/>
                <w:szCs w:val="20"/>
              </w:rPr>
              <w:t>截止2023年12月31日，该项目已完成279名优抚对象2023年1-12月优抚抚恤和生活补助发放工作，补助优抚对象人数279人，优抚对象补助种类13类。推动了优抚对象的生活水平不低于当地居民的平均生活水平，解决了487.43万元生活补助问题，改善了优抚对象生活质量，达到预期目标。</w:t>
            </w:r>
          </w:p>
        </w:tc>
      </w:tr>
      <w:tr w14:paraId="42EA68D5">
        <w:tblPrEx>
          <w:tblCellMar>
            <w:top w:w="0" w:type="dxa"/>
            <w:left w:w="108" w:type="dxa"/>
            <w:bottom w:w="0" w:type="dxa"/>
            <w:right w:w="108" w:type="dxa"/>
          </w:tblCellMar>
        </w:tblPrEx>
        <w:trPr>
          <w:gridAfter w:val="1"/>
          <w:wAfter w:w="130" w:type="pct"/>
          <w:trHeight w:val="312" w:hRule="atLeast"/>
        </w:trPr>
        <w:tc>
          <w:tcPr>
            <w:tcW w:w="282" w:type="pct"/>
            <w:vMerge w:val="restart"/>
            <w:tcBorders>
              <w:top w:val="nil"/>
              <w:left w:val="single" w:color="auto" w:sz="4" w:space="0"/>
              <w:bottom w:val="single" w:color="auto" w:sz="4" w:space="0"/>
              <w:right w:val="single" w:color="auto" w:sz="4" w:space="0"/>
            </w:tcBorders>
            <w:shd w:val="clear" w:color="auto" w:fill="auto"/>
            <w:vAlign w:val="center"/>
          </w:tcPr>
          <w:p w14:paraId="350DFC7D">
            <w:pPr>
              <w:widowControl/>
              <w:jc w:val="center"/>
              <w:rPr>
                <w:rFonts w:hint="eastAsia" w:ascii="宋体" w:hAnsi="宋体" w:cs="宋体"/>
                <w:kern w:val="0"/>
                <w:sz w:val="20"/>
                <w:szCs w:val="20"/>
              </w:rPr>
            </w:pPr>
            <w:r>
              <w:rPr>
                <w:rFonts w:hint="eastAsia" w:ascii="宋体" w:hAnsi="宋体" w:cs="宋体"/>
                <w:kern w:val="0"/>
                <w:sz w:val="20"/>
                <w:szCs w:val="20"/>
              </w:rPr>
              <w:t>　</w:t>
            </w:r>
          </w:p>
        </w:tc>
        <w:tc>
          <w:tcPr>
            <w:tcW w:w="282" w:type="pct"/>
            <w:vMerge w:val="restart"/>
            <w:tcBorders>
              <w:top w:val="nil"/>
              <w:left w:val="single" w:color="auto" w:sz="4" w:space="0"/>
              <w:bottom w:val="single" w:color="auto" w:sz="4" w:space="0"/>
              <w:right w:val="single" w:color="auto" w:sz="4" w:space="0"/>
            </w:tcBorders>
            <w:shd w:val="clear" w:color="auto" w:fill="auto"/>
            <w:vAlign w:val="center"/>
          </w:tcPr>
          <w:p w14:paraId="749C27EA">
            <w:pPr>
              <w:widowControl/>
              <w:jc w:val="center"/>
              <w:rPr>
                <w:rFonts w:hint="eastAsia" w:ascii="宋体" w:hAnsi="宋体" w:cs="宋体"/>
                <w:kern w:val="0"/>
                <w:sz w:val="20"/>
                <w:szCs w:val="20"/>
              </w:rPr>
            </w:pPr>
            <w:r>
              <w:rPr>
                <w:rFonts w:hint="eastAsia" w:ascii="宋体" w:hAnsi="宋体" w:cs="宋体"/>
                <w:kern w:val="0"/>
                <w:sz w:val="20"/>
                <w:szCs w:val="20"/>
              </w:rPr>
              <w:t>一级指标</w:t>
            </w:r>
          </w:p>
        </w:tc>
        <w:tc>
          <w:tcPr>
            <w:tcW w:w="492" w:type="pct"/>
            <w:vMerge w:val="restart"/>
            <w:tcBorders>
              <w:top w:val="nil"/>
              <w:left w:val="single" w:color="auto" w:sz="4" w:space="0"/>
              <w:bottom w:val="single" w:color="auto" w:sz="4" w:space="0"/>
              <w:right w:val="single" w:color="auto" w:sz="4" w:space="0"/>
            </w:tcBorders>
            <w:shd w:val="clear" w:color="auto" w:fill="auto"/>
            <w:vAlign w:val="center"/>
          </w:tcPr>
          <w:p w14:paraId="25B43A6A">
            <w:pPr>
              <w:widowControl/>
              <w:jc w:val="center"/>
              <w:rPr>
                <w:rFonts w:hint="eastAsia" w:ascii="宋体" w:hAnsi="宋体" w:cs="宋体"/>
                <w:kern w:val="0"/>
                <w:sz w:val="20"/>
                <w:szCs w:val="20"/>
              </w:rPr>
            </w:pPr>
            <w:r>
              <w:rPr>
                <w:rFonts w:hint="eastAsia" w:ascii="宋体" w:hAnsi="宋体" w:cs="宋体"/>
                <w:kern w:val="0"/>
                <w:sz w:val="20"/>
                <w:szCs w:val="20"/>
              </w:rPr>
              <w:t>二级指标</w:t>
            </w:r>
          </w:p>
        </w:tc>
        <w:tc>
          <w:tcPr>
            <w:tcW w:w="1418" w:type="pct"/>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E31B879">
            <w:pPr>
              <w:widowControl/>
              <w:jc w:val="center"/>
              <w:rPr>
                <w:rFonts w:hint="eastAsia" w:ascii="宋体" w:hAnsi="宋体" w:cs="宋体"/>
                <w:kern w:val="0"/>
                <w:sz w:val="20"/>
                <w:szCs w:val="20"/>
              </w:rPr>
            </w:pPr>
            <w:r>
              <w:rPr>
                <w:rFonts w:hint="eastAsia" w:ascii="宋体" w:hAnsi="宋体" w:cs="宋体"/>
                <w:kern w:val="0"/>
                <w:sz w:val="20"/>
                <w:szCs w:val="20"/>
              </w:rPr>
              <w:t>三级指标</w:t>
            </w:r>
          </w:p>
        </w:tc>
        <w:tc>
          <w:tcPr>
            <w:tcW w:w="479" w:type="pct"/>
            <w:vMerge w:val="restart"/>
            <w:tcBorders>
              <w:top w:val="nil"/>
              <w:left w:val="single" w:color="auto" w:sz="4" w:space="0"/>
              <w:bottom w:val="single" w:color="auto" w:sz="4" w:space="0"/>
              <w:right w:val="single" w:color="auto" w:sz="4" w:space="0"/>
            </w:tcBorders>
            <w:shd w:val="clear" w:color="auto" w:fill="auto"/>
            <w:vAlign w:val="center"/>
          </w:tcPr>
          <w:p w14:paraId="247EA3C5">
            <w:pPr>
              <w:widowControl/>
              <w:jc w:val="center"/>
              <w:rPr>
                <w:rFonts w:hint="eastAsia" w:ascii="宋体" w:hAnsi="宋体" w:cs="宋体"/>
                <w:kern w:val="0"/>
                <w:sz w:val="20"/>
                <w:szCs w:val="20"/>
              </w:rPr>
            </w:pPr>
            <w:r>
              <w:rPr>
                <w:rFonts w:hint="eastAsia" w:ascii="宋体" w:hAnsi="宋体" w:cs="宋体"/>
                <w:kern w:val="0"/>
                <w:sz w:val="20"/>
                <w:szCs w:val="20"/>
              </w:rPr>
              <w:t>年度指标值</w:t>
            </w:r>
          </w:p>
        </w:tc>
        <w:tc>
          <w:tcPr>
            <w:tcW w:w="421" w:type="pct"/>
            <w:vMerge w:val="restart"/>
            <w:tcBorders>
              <w:top w:val="nil"/>
              <w:left w:val="single" w:color="auto" w:sz="4" w:space="0"/>
              <w:bottom w:val="single" w:color="auto" w:sz="4" w:space="0"/>
              <w:right w:val="single" w:color="auto" w:sz="4" w:space="0"/>
            </w:tcBorders>
            <w:shd w:val="clear" w:color="auto" w:fill="auto"/>
            <w:vAlign w:val="center"/>
          </w:tcPr>
          <w:p w14:paraId="295D7DAE">
            <w:pPr>
              <w:widowControl/>
              <w:jc w:val="center"/>
              <w:rPr>
                <w:rFonts w:hint="eastAsia" w:ascii="宋体" w:hAnsi="宋体" w:cs="宋体"/>
                <w:kern w:val="0"/>
                <w:sz w:val="20"/>
                <w:szCs w:val="20"/>
              </w:rPr>
            </w:pPr>
            <w:r>
              <w:rPr>
                <w:rFonts w:hint="eastAsia" w:ascii="宋体" w:hAnsi="宋体" w:cs="宋体"/>
                <w:kern w:val="0"/>
                <w:sz w:val="20"/>
                <w:szCs w:val="20"/>
              </w:rPr>
              <w:t>实际完成值</w:t>
            </w:r>
          </w:p>
        </w:tc>
        <w:tc>
          <w:tcPr>
            <w:tcW w:w="329"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2AB5022">
            <w:pPr>
              <w:widowControl/>
              <w:jc w:val="center"/>
              <w:rPr>
                <w:rFonts w:hint="eastAsia" w:ascii="宋体" w:hAnsi="宋体" w:cs="宋体"/>
                <w:kern w:val="0"/>
                <w:sz w:val="20"/>
                <w:szCs w:val="20"/>
              </w:rPr>
            </w:pPr>
            <w:r>
              <w:rPr>
                <w:rFonts w:hint="eastAsia" w:ascii="宋体" w:hAnsi="宋体" w:cs="宋体"/>
                <w:kern w:val="0"/>
                <w:sz w:val="20"/>
                <w:szCs w:val="20"/>
              </w:rPr>
              <w:t>分值</w:t>
            </w:r>
          </w:p>
        </w:tc>
        <w:tc>
          <w:tcPr>
            <w:tcW w:w="464"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12DEC9E">
            <w:pPr>
              <w:widowControl/>
              <w:jc w:val="center"/>
              <w:rPr>
                <w:rFonts w:hint="eastAsia" w:ascii="宋体" w:hAnsi="宋体" w:cs="宋体"/>
                <w:kern w:val="0"/>
                <w:sz w:val="20"/>
                <w:szCs w:val="20"/>
              </w:rPr>
            </w:pPr>
            <w:r>
              <w:rPr>
                <w:rFonts w:hint="eastAsia" w:ascii="宋体" w:hAnsi="宋体" w:cs="宋体"/>
                <w:kern w:val="0"/>
                <w:sz w:val="20"/>
                <w:szCs w:val="20"/>
              </w:rPr>
              <w:t>得分</w:t>
            </w:r>
          </w:p>
        </w:tc>
        <w:tc>
          <w:tcPr>
            <w:tcW w:w="704"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9DB08B8">
            <w:pPr>
              <w:widowControl/>
              <w:jc w:val="center"/>
              <w:rPr>
                <w:rFonts w:hint="eastAsia" w:ascii="宋体" w:hAnsi="宋体" w:cs="宋体"/>
                <w:kern w:val="0"/>
                <w:sz w:val="20"/>
                <w:szCs w:val="20"/>
              </w:rPr>
            </w:pPr>
            <w:r>
              <w:rPr>
                <w:rFonts w:hint="eastAsia" w:ascii="宋体" w:hAnsi="宋体" w:cs="宋体"/>
                <w:kern w:val="0"/>
                <w:sz w:val="20"/>
                <w:szCs w:val="20"/>
              </w:rPr>
              <w:t>偏差原因分析及改进措施</w:t>
            </w:r>
          </w:p>
        </w:tc>
      </w:tr>
      <w:tr w14:paraId="2E97C4AF">
        <w:tblPrEx>
          <w:tblCellMar>
            <w:top w:w="0" w:type="dxa"/>
            <w:left w:w="108" w:type="dxa"/>
            <w:bottom w:w="0" w:type="dxa"/>
            <w:right w:w="108" w:type="dxa"/>
          </w:tblCellMar>
        </w:tblPrEx>
        <w:trPr>
          <w:trHeight w:val="270" w:hRule="atLeast"/>
        </w:trPr>
        <w:tc>
          <w:tcPr>
            <w:tcW w:w="282" w:type="pct"/>
            <w:vMerge w:val="continue"/>
            <w:tcBorders>
              <w:top w:val="nil"/>
              <w:left w:val="single" w:color="auto" w:sz="4" w:space="0"/>
              <w:bottom w:val="single" w:color="auto" w:sz="4" w:space="0"/>
              <w:right w:val="single" w:color="auto" w:sz="4" w:space="0"/>
            </w:tcBorders>
            <w:vAlign w:val="center"/>
          </w:tcPr>
          <w:p w14:paraId="35C492FD">
            <w:pPr>
              <w:widowControl/>
              <w:jc w:val="left"/>
              <w:rPr>
                <w:rFonts w:hint="eastAsia" w:ascii="宋体" w:hAnsi="宋体" w:cs="宋体"/>
                <w:kern w:val="0"/>
                <w:sz w:val="20"/>
                <w:szCs w:val="20"/>
              </w:rPr>
            </w:pPr>
          </w:p>
        </w:tc>
        <w:tc>
          <w:tcPr>
            <w:tcW w:w="282" w:type="pct"/>
            <w:vMerge w:val="continue"/>
            <w:tcBorders>
              <w:top w:val="nil"/>
              <w:left w:val="single" w:color="auto" w:sz="4" w:space="0"/>
              <w:bottom w:val="single" w:color="auto" w:sz="4" w:space="0"/>
              <w:right w:val="single" w:color="auto" w:sz="4" w:space="0"/>
            </w:tcBorders>
            <w:vAlign w:val="center"/>
          </w:tcPr>
          <w:p w14:paraId="5147C50F">
            <w:pPr>
              <w:widowControl/>
              <w:jc w:val="left"/>
              <w:rPr>
                <w:rFonts w:hint="eastAsia" w:ascii="宋体" w:hAnsi="宋体" w:cs="宋体"/>
                <w:kern w:val="0"/>
                <w:sz w:val="20"/>
                <w:szCs w:val="20"/>
              </w:rPr>
            </w:pPr>
          </w:p>
        </w:tc>
        <w:tc>
          <w:tcPr>
            <w:tcW w:w="492" w:type="pct"/>
            <w:vMerge w:val="continue"/>
            <w:tcBorders>
              <w:top w:val="nil"/>
              <w:left w:val="single" w:color="auto" w:sz="4" w:space="0"/>
              <w:bottom w:val="single" w:color="auto" w:sz="4" w:space="0"/>
              <w:right w:val="single" w:color="auto" w:sz="4" w:space="0"/>
            </w:tcBorders>
            <w:vAlign w:val="center"/>
          </w:tcPr>
          <w:p w14:paraId="495F9F6C">
            <w:pPr>
              <w:widowControl/>
              <w:jc w:val="left"/>
              <w:rPr>
                <w:rFonts w:hint="eastAsia" w:ascii="宋体" w:hAnsi="宋体" w:cs="宋体"/>
                <w:kern w:val="0"/>
                <w:sz w:val="20"/>
                <w:szCs w:val="20"/>
              </w:rPr>
            </w:pPr>
          </w:p>
        </w:tc>
        <w:tc>
          <w:tcPr>
            <w:tcW w:w="1418" w:type="pct"/>
            <w:gridSpan w:val="3"/>
            <w:vMerge w:val="continue"/>
            <w:tcBorders>
              <w:top w:val="single" w:color="auto" w:sz="4" w:space="0"/>
              <w:left w:val="single" w:color="auto" w:sz="4" w:space="0"/>
              <w:bottom w:val="single" w:color="auto" w:sz="4" w:space="0"/>
              <w:right w:val="single" w:color="auto" w:sz="4" w:space="0"/>
            </w:tcBorders>
            <w:vAlign w:val="center"/>
          </w:tcPr>
          <w:p w14:paraId="7473DD4E">
            <w:pPr>
              <w:widowControl/>
              <w:jc w:val="left"/>
              <w:rPr>
                <w:rFonts w:hint="eastAsia" w:ascii="宋体" w:hAnsi="宋体" w:cs="宋体"/>
                <w:kern w:val="0"/>
                <w:sz w:val="20"/>
                <w:szCs w:val="20"/>
              </w:rPr>
            </w:pPr>
          </w:p>
        </w:tc>
        <w:tc>
          <w:tcPr>
            <w:tcW w:w="479" w:type="pct"/>
            <w:vMerge w:val="continue"/>
            <w:tcBorders>
              <w:top w:val="nil"/>
              <w:left w:val="single" w:color="auto" w:sz="4" w:space="0"/>
              <w:bottom w:val="single" w:color="auto" w:sz="4" w:space="0"/>
              <w:right w:val="single" w:color="auto" w:sz="4" w:space="0"/>
            </w:tcBorders>
            <w:vAlign w:val="center"/>
          </w:tcPr>
          <w:p w14:paraId="1BFDE8D5">
            <w:pPr>
              <w:widowControl/>
              <w:jc w:val="left"/>
              <w:rPr>
                <w:rFonts w:hint="eastAsia" w:ascii="宋体" w:hAnsi="宋体" w:cs="宋体"/>
                <w:kern w:val="0"/>
                <w:sz w:val="20"/>
                <w:szCs w:val="20"/>
              </w:rPr>
            </w:pPr>
          </w:p>
        </w:tc>
        <w:tc>
          <w:tcPr>
            <w:tcW w:w="421" w:type="pct"/>
            <w:vMerge w:val="continue"/>
            <w:tcBorders>
              <w:top w:val="nil"/>
              <w:left w:val="single" w:color="auto" w:sz="4" w:space="0"/>
              <w:bottom w:val="single" w:color="auto" w:sz="4" w:space="0"/>
              <w:right w:val="single" w:color="auto" w:sz="4" w:space="0"/>
            </w:tcBorders>
            <w:vAlign w:val="center"/>
          </w:tcPr>
          <w:p w14:paraId="76D9F1A4">
            <w:pPr>
              <w:widowControl/>
              <w:jc w:val="left"/>
              <w:rPr>
                <w:rFonts w:hint="eastAsia" w:ascii="宋体" w:hAnsi="宋体" w:cs="宋体"/>
                <w:kern w:val="0"/>
                <w:sz w:val="20"/>
                <w:szCs w:val="20"/>
              </w:rPr>
            </w:pPr>
          </w:p>
        </w:tc>
        <w:tc>
          <w:tcPr>
            <w:tcW w:w="329" w:type="pct"/>
            <w:gridSpan w:val="2"/>
            <w:vMerge w:val="continue"/>
            <w:tcBorders>
              <w:top w:val="single" w:color="auto" w:sz="4" w:space="0"/>
              <w:left w:val="single" w:color="auto" w:sz="4" w:space="0"/>
              <w:bottom w:val="single" w:color="auto" w:sz="4" w:space="0"/>
              <w:right w:val="single" w:color="auto" w:sz="4" w:space="0"/>
            </w:tcBorders>
            <w:vAlign w:val="center"/>
          </w:tcPr>
          <w:p w14:paraId="22181E9C">
            <w:pPr>
              <w:widowControl/>
              <w:jc w:val="left"/>
              <w:rPr>
                <w:rFonts w:hint="eastAsia" w:ascii="宋体" w:hAnsi="宋体" w:cs="宋体"/>
                <w:kern w:val="0"/>
                <w:sz w:val="20"/>
                <w:szCs w:val="20"/>
              </w:rPr>
            </w:pPr>
          </w:p>
        </w:tc>
        <w:tc>
          <w:tcPr>
            <w:tcW w:w="464" w:type="pct"/>
            <w:gridSpan w:val="2"/>
            <w:vMerge w:val="continue"/>
            <w:tcBorders>
              <w:top w:val="single" w:color="auto" w:sz="4" w:space="0"/>
              <w:left w:val="single" w:color="auto" w:sz="4" w:space="0"/>
              <w:bottom w:val="single" w:color="auto" w:sz="4" w:space="0"/>
              <w:right w:val="single" w:color="auto" w:sz="4" w:space="0"/>
            </w:tcBorders>
            <w:vAlign w:val="center"/>
          </w:tcPr>
          <w:p w14:paraId="125B0E3B">
            <w:pPr>
              <w:widowControl/>
              <w:jc w:val="left"/>
              <w:rPr>
                <w:rFonts w:hint="eastAsia" w:ascii="宋体" w:hAnsi="宋体" w:cs="宋体"/>
                <w:kern w:val="0"/>
                <w:sz w:val="20"/>
                <w:szCs w:val="20"/>
              </w:rPr>
            </w:pPr>
          </w:p>
        </w:tc>
        <w:tc>
          <w:tcPr>
            <w:tcW w:w="704" w:type="pct"/>
            <w:gridSpan w:val="2"/>
            <w:vMerge w:val="continue"/>
            <w:tcBorders>
              <w:top w:val="single" w:color="auto" w:sz="4" w:space="0"/>
              <w:left w:val="single" w:color="auto" w:sz="4" w:space="0"/>
              <w:bottom w:val="single" w:color="auto" w:sz="4" w:space="0"/>
              <w:right w:val="single" w:color="auto" w:sz="4" w:space="0"/>
            </w:tcBorders>
            <w:vAlign w:val="center"/>
          </w:tcPr>
          <w:p w14:paraId="4A3DB2D1">
            <w:pPr>
              <w:widowControl/>
              <w:jc w:val="left"/>
              <w:rPr>
                <w:rFonts w:hint="eastAsia" w:ascii="宋体" w:hAnsi="宋体" w:cs="宋体"/>
                <w:kern w:val="0"/>
                <w:sz w:val="20"/>
                <w:szCs w:val="20"/>
              </w:rPr>
            </w:pPr>
          </w:p>
        </w:tc>
        <w:tc>
          <w:tcPr>
            <w:tcW w:w="130" w:type="pct"/>
            <w:tcBorders>
              <w:top w:val="nil"/>
              <w:left w:val="nil"/>
              <w:bottom w:val="nil"/>
              <w:right w:val="nil"/>
            </w:tcBorders>
            <w:shd w:val="clear" w:color="auto" w:fill="auto"/>
            <w:noWrap/>
            <w:vAlign w:val="center"/>
          </w:tcPr>
          <w:p w14:paraId="3C01DD68">
            <w:pPr>
              <w:widowControl/>
              <w:jc w:val="center"/>
              <w:rPr>
                <w:rFonts w:hint="eastAsia" w:ascii="宋体" w:hAnsi="宋体" w:cs="宋体"/>
                <w:kern w:val="0"/>
                <w:sz w:val="20"/>
                <w:szCs w:val="20"/>
              </w:rPr>
            </w:pPr>
          </w:p>
        </w:tc>
      </w:tr>
      <w:tr w14:paraId="2278DA6B">
        <w:tblPrEx>
          <w:tblCellMar>
            <w:top w:w="0" w:type="dxa"/>
            <w:left w:w="108" w:type="dxa"/>
            <w:bottom w:w="0" w:type="dxa"/>
            <w:right w:w="108" w:type="dxa"/>
          </w:tblCellMar>
        </w:tblPrEx>
        <w:trPr>
          <w:trHeight w:val="402" w:hRule="atLeast"/>
        </w:trPr>
        <w:tc>
          <w:tcPr>
            <w:tcW w:w="282" w:type="pct"/>
            <w:vMerge w:val="restart"/>
            <w:tcBorders>
              <w:top w:val="nil"/>
              <w:left w:val="single" w:color="auto" w:sz="4" w:space="0"/>
              <w:bottom w:val="single" w:color="auto" w:sz="4" w:space="0"/>
              <w:right w:val="single" w:color="auto" w:sz="4" w:space="0"/>
            </w:tcBorders>
            <w:shd w:val="clear" w:color="auto" w:fill="auto"/>
            <w:vAlign w:val="center"/>
          </w:tcPr>
          <w:p w14:paraId="0F61489E">
            <w:pPr>
              <w:widowControl/>
              <w:jc w:val="center"/>
              <w:rPr>
                <w:rFonts w:hint="eastAsia" w:ascii="宋体" w:hAnsi="宋体" w:cs="宋体"/>
                <w:kern w:val="0"/>
                <w:sz w:val="20"/>
                <w:szCs w:val="20"/>
              </w:rPr>
            </w:pPr>
            <w:r>
              <w:rPr>
                <w:rFonts w:hint="eastAsia" w:ascii="宋体" w:hAnsi="宋体" w:cs="宋体"/>
                <w:kern w:val="0"/>
                <w:sz w:val="20"/>
                <w:szCs w:val="20"/>
              </w:rPr>
              <w:t>年度绩效指标完成情况</w:t>
            </w:r>
          </w:p>
        </w:tc>
        <w:tc>
          <w:tcPr>
            <w:tcW w:w="282" w:type="pct"/>
            <w:vMerge w:val="restart"/>
            <w:tcBorders>
              <w:top w:val="nil"/>
              <w:left w:val="single" w:color="auto" w:sz="4" w:space="0"/>
              <w:bottom w:val="single" w:color="auto" w:sz="4" w:space="0"/>
              <w:right w:val="single" w:color="auto" w:sz="4" w:space="0"/>
            </w:tcBorders>
            <w:shd w:val="clear" w:color="auto" w:fill="auto"/>
            <w:vAlign w:val="center"/>
          </w:tcPr>
          <w:p w14:paraId="222B7D1D">
            <w:pPr>
              <w:widowControl/>
              <w:jc w:val="center"/>
              <w:rPr>
                <w:rFonts w:hint="eastAsia" w:ascii="宋体" w:hAnsi="宋体" w:cs="宋体"/>
                <w:kern w:val="0"/>
                <w:sz w:val="20"/>
                <w:szCs w:val="20"/>
              </w:rPr>
            </w:pPr>
            <w:r>
              <w:rPr>
                <w:rFonts w:hint="eastAsia" w:ascii="宋体" w:hAnsi="宋体" w:cs="宋体"/>
                <w:kern w:val="0"/>
                <w:sz w:val="20"/>
                <w:szCs w:val="20"/>
              </w:rPr>
              <w:t>产出指标</w:t>
            </w:r>
          </w:p>
        </w:tc>
        <w:tc>
          <w:tcPr>
            <w:tcW w:w="492" w:type="pct"/>
            <w:tcBorders>
              <w:top w:val="nil"/>
              <w:left w:val="nil"/>
              <w:bottom w:val="single" w:color="auto" w:sz="4" w:space="0"/>
              <w:right w:val="single" w:color="auto" w:sz="4" w:space="0"/>
            </w:tcBorders>
            <w:shd w:val="clear" w:color="auto" w:fill="auto"/>
            <w:vAlign w:val="center"/>
          </w:tcPr>
          <w:p w14:paraId="796B7F59">
            <w:pPr>
              <w:widowControl/>
              <w:jc w:val="center"/>
              <w:rPr>
                <w:rFonts w:hint="eastAsia" w:ascii="宋体" w:hAnsi="宋体" w:cs="宋体"/>
                <w:kern w:val="0"/>
                <w:sz w:val="20"/>
                <w:szCs w:val="20"/>
              </w:rPr>
            </w:pPr>
            <w:r>
              <w:rPr>
                <w:rFonts w:hint="eastAsia" w:ascii="宋体" w:hAnsi="宋体" w:cs="宋体"/>
                <w:kern w:val="0"/>
                <w:sz w:val="20"/>
                <w:szCs w:val="20"/>
              </w:rPr>
              <w:t>数量指标</w:t>
            </w:r>
          </w:p>
        </w:tc>
        <w:tc>
          <w:tcPr>
            <w:tcW w:w="1418" w:type="pct"/>
            <w:gridSpan w:val="3"/>
            <w:tcBorders>
              <w:top w:val="single" w:color="auto" w:sz="4" w:space="0"/>
              <w:left w:val="nil"/>
              <w:bottom w:val="single" w:color="auto" w:sz="4" w:space="0"/>
              <w:right w:val="single" w:color="000000" w:sz="4" w:space="0"/>
            </w:tcBorders>
            <w:shd w:val="clear" w:color="auto" w:fill="auto"/>
            <w:noWrap/>
            <w:vAlign w:val="center"/>
          </w:tcPr>
          <w:p w14:paraId="2C0173EB">
            <w:pPr>
              <w:widowControl/>
              <w:jc w:val="left"/>
              <w:rPr>
                <w:rFonts w:hint="eastAsia" w:ascii="宋体" w:hAnsi="宋体" w:cs="宋体"/>
                <w:kern w:val="0"/>
                <w:sz w:val="20"/>
                <w:szCs w:val="20"/>
              </w:rPr>
            </w:pPr>
            <w:r>
              <w:rPr>
                <w:rFonts w:hint="eastAsia" w:ascii="宋体" w:hAnsi="宋体" w:cs="宋体"/>
                <w:kern w:val="0"/>
                <w:sz w:val="20"/>
                <w:szCs w:val="20"/>
              </w:rPr>
              <w:t>补助优抚对象人数</w:t>
            </w:r>
          </w:p>
        </w:tc>
        <w:tc>
          <w:tcPr>
            <w:tcW w:w="479" w:type="pct"/>
            <w:tcBorders>
              <w:top w:val="nil"/>
              <w:left w:val="nil"/>
              <w:bottom w:val="single" w:color="auto" w:sz="4" w:space="0"/>
              <w:right w:val="single" w:color="auto" w:sz="4" w:space="0"/>
            </w:tcBorders>
            <w:shd w:val="clear" w:color="auto" w:fill="auto"/>
            <w:vAlign w:val="center"/>
          </w:tcPr>
          <w:p w14:paraId="4EC8B824">
            <w:pPr>
              <w:widowControl/>
              <w:jc w:val="center"/>
              <w:rPr>
                <w:rFonts w:hint="eastAsia" w:ascii="宋体" w:hAnsi="宋体" w:cs="宋体"/>
                <w:kern w:val="0"/>
                <w:sz w:val="20"/>
                <w:szCs w:val="20"/>
              </w:rPr>
            </w:pPr>
            <w:r>
              <w:rPr>
                <w:rFonts w:hint="eastAsia" w:ascii="宋体" w:hAnsi="宋体" w:cs="宋体"/>
                <w:kern w:val="0"/>
                <w:sz w:val="20"/>
                <w:szCs w:val="20"/>
              </w:rPr>
              <w:t>&gt;=254人</w:t>
            </w:r>
          </w:p>
        </w:tc>
        <w:tc>
          <w:tcPr>
            <w:tcW w:w="421" w:type="pct"/>
            <w:tcBorders>
              <w:top w:val="nil"/>
              <w:left w:val="nil"/>
              <w:bottom w:val="single" w:color="auto" w:sz="4" w:space="0"/>
              <w:right w:val="single" w:color="auto" w:sz="4" w:space="0"/>
            </w:tcBorders>
            <w:shd w:val="clear" w:color="auto" w:fill="auto"/>
            <w:vAlign w:val="center"/>
          </w:tcPr>
          <w:p w14:paraId="054D18A5">
            <w:pPr>
              <w:widowControl/>
              <w:jc w:val="center"/>
              <w:rPr>
                <w:rFonts w:hint="eastAsia" w:ascii="宋体" w:hAnsi="宋体" w:cs="宋体"/>
                <w:kern w:val="0"/>
                <w:sz w:val="20"/>
                <w:szCs w:val="20"/>
              </w:rPr>
            </w:pPr>
            <w:r>
              <w:rPr>
                <w:rFonts w:hint="eastAsia" w:ascii="宋体" w:hAnsi="宋体" w:cs="宋体"/>
                <w:kern w:val="0"/>
                <w:sz w:val="20"/>
                <w:szCs w:val="20"/>
              </w:rPr>
              <w:t>=279人</w:t>
            </w:r>
          </w:p>
        </w:tc>
        <w:tc>
          <w:tcPr>
            <w:tcW w:w="329" w:type="pct"/>
            <w:gridSpan w:val="2"/>
            <w:tcBorders>
              <w:top w:val="single" w:color="auto" w:sz="4" w:space="0"/>
              <w:left w:val="nil"/>
              <w:bottom w:val="single" w:color="auto" w:sz="4" w:space="0"/>
              <w:right w:val="single" w:color="000000" w:sz="4" w:space="0"/>
            </w:tcBorders>
            <w:shd w:val="clear" w:color="auto" w:fill="auto"/>
            <w:vAlign w:val="center"/>
          </w:tcPr>
          <w:p w14:paraId="79B72411">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464" w:type="pct"/>
            <w:gridSpan w:val="2"/>
            <w:tcBorders>
              <w:top w:val="single" w:color="auto" w:sz="4" w:space="0"/>
              <w:left w:val="nil"/>
              <w:bottom w:val="single" w:color="auto" w:sz="4" w:space="0"/>
              <w:right w:val="single" w:color="000000" w:sz="4" w:space="0"/>
            </w:tcBorders>
            <w:shd w:val="clear" w:color="auto" w:fill="auto"/>
            <w:vAlign w:val="center"/>
          </w:tcPr>
          <w:p w14:paraId="01EF8DE0">
            <w:pPr>
              <w:widowControl/>
              <w:jc w:val="center"/>
              <w:rPr>
                <w:rFonts w:hint="eastAsia" w:ascii="宋体" w:hAnsi="宋体" w:cs="宋体"/>
                <w:kern w:val="0"/>
                <w:sz w:val="20"/>
                <w:szCs w:val="20"/>
              </w:rPr>
            </w:pPr>
            <w:r>
              <w:rPr>
                <w:rFonts w:hint="eastAsia" w:ascii="宋体" w:hAnsi="宋体" w:cs="宋体"/>
                <w:kern w:val="0"/>
                <w:sz w:val="20"/>
                <w:szCs w:val="20"/>
              </w:rPr>
              <w:t>9.1</w:t>
            </w:r>
          </w:p>
        </w:tc>
        <w:tc>
          <w:tcPr>
            <w:tcW w:w="704" w:type="pct"/>
            <w:gridSpan w:val="2"/>
            <w:tcBorders>
              <w:top w:val="single" w:color="auto" w:sz="4" w:space="0"/>
              <w:left w:val="nil"/>
              <w:bottom w:val="single" w:color="auto" w:sz="4" w:space="0"/>
              <w:right w:val="single" w:color="auto" w:sz="4" w:space="0"/>
            </w:tcBorders>
            <w:shd w:val="clear" w:color="auto" w:fill="auto"/>
            <w:vAlign w:val="center"/>
          </w:tcPr>
          <w:p w14:paraId="5E227ADA">
            <w:pPr>
              <w:widowControl/>
              <w:jc w:val="center"/>
              <w:rPr>
                <w:rFonts w:hint="eastAsia" w:ascii="宋体" w:hAnsi="宋体" w:cs="宋体"/>
                <w:kern w:val="0"/>
                <w:sz w:val="20"/>
                <w:szCs w:val="20"/>
              </w:rPr>
            </w:pPr>
            <w:r>
              <w:rPr>
                <w:rFonts w:hint="eastAsia" w:ascii="宋体" w:hAnsi="宋体" w:cs="宋体"/>
                <w:kern w:val="0"/>
                <w:sz w:val="20"/>
                <w:szCs w:val="20"/>
              </w:rPr>
              <w:t>　</w:t>
            </w:r>
          </w:p>
        </w:tc>
        <w:tc>
          <w:tcPr>
            <w:tcW w:w="130" w:type="pct"/>
            <w:vAlign w:val="center"/>
          </w:tcPr>
          <w:p w14:paraId="6BCFEB0A">
            <w:pPr>
              <w:widowControl/>
              <w:jc w:val="left"/>
              <w:rPr>
                <w:rFonts w:eastAsia="Times New Roman"/>
                <w:kern w:val="0"/>
                <w:sz w:val="20"/>
                <w:szCs w:val="20"/>
              </w:rPr>
            </w:pPr>
          </w:p>
        </w:tc>
      </w:tr>
      <w:tr w14:paraId="334B0C90">
        <w:tblPrEx>
          <w:tblCellMar>
            <w:top w:w="0" w:type="dxa"/>
            <w:left w:w="108" w:type="dxa"/>
            <w:bottom w:w="0" w:type="dxa"/>
            <w:right w:w="108" w:type="dxa"/>
          </w:tblCellMar>
        </w:tblPrEx>
        <w:trPr>
          <w:trHeight w:val="402" w:hRule="atLeast"/>
        </w:trPr>
        <w:tc>
          <w:tcPr>
            <w:tcW w:w="282" w:type="pct"/>
            <w:vMerge w:val="continue"/>
            <w:tcBorders>
              <w:top w:val="nil"/>
              <w:left w:val="single" w:color="auto" w:sz="4" w:space="0"/>
              <w:bottom w:val="single" w:color="auto" w:sz="4" w:space="0"/>
              <w:right w:val="single" w:color="auto" w:sz="4" w:space="0"/>
            </w:tcBorders>
            <w:vAlign w:val="center"/>
          </w:tcPr>
          <w:p w14:paraId="115FF10C">
            <w:pPr>
              <w:widowControl/>
              <w:jc w:val="left"/>
              <w:rPr>
                <w:rFonts w:hint="eastAsia" w:ascii="宋体" w:hAnsi="宋体" w:cs="宋体"/>
                <w:kern w:val="0"/>
                <w:sz w:val="20"/>
                <w:szCs w:val="20"/>
              </w:rPr>
            </w:pPr>
          </w:p>
        </w:tc>
        <w:tc>
          <w:tcPr>
            <w:tcW w:w="282" w:type="pct"/>
            <w:vMerge w:val="continue"/>
            <w:tcBorders>
              <w:top w:val="nil"/>
              <w:left w:val="single" w:color="auto" w:sz="4" w:space="0"/>
              <w:bottom w:val="single" w:color="auto" w:sz="4" w:space="0"/>
              <w:right w:val="single" w:color="auto" w:sz="4" w:space="0"/>
            </w:tcBorders>
            <w:vAlign w:val="center"/>
          </w:tcPr>
          <w:p w14:paraId="28AF195A">
            <w:pPr>
              <w:widowControl/>
              <w:jc w:val="left"/>
              <w:rPr>
                <w:rFonts w:hint="eastAsia" w:ascii="宋体" w:hAnsi="宋体" w:cs="宋体"/>
                <w:kern w:val="0"/>
                <w:sz w:val="20"/>
                <w:szCs w:val="20"/>
              </w:rPr>
            </w:pPr>
          </w:p>
        </w:tc>
        <w:tc>
          <w:tcPr>
            <w:tcW w:w="492" w:type="pct"/>
            <w:tcBorders>
              <w:top w:val="nil"/>
              <w:left w:val="nil"/>
              <w:bottom w:val="single" w:color="auto" w:sz="4" w:space="0"/>
              <w:right w:val="single" w:color="auto" w:sz="4" w:space="0"/>
            </w:tcBorders>
            <w:shd w:val="clear" w:color="auto" w:fill="auto"/>
            <w:vAlign w:val="center"/>
          </w:tcPr>
          <w:p w14:paraId="606C49D1">
            <w:pPr>
              <w:widowControl/>
              <w:jc w:val="center"/>
              <w:rPr>
                <w:rFonts w:hint="eastAsia" w:ascii="宋体" w:hAnsi="宋体" w:cs="宋体"/>
                <w:kern w:val="0"/>
                <w:sz w:val="20"/>
                <w:szCs w:val="20"/>
              </w:rPr>
            </w:pPr>
            <w:r>
              <w:rPr>
                <w:rFonts w:hint="eastAsia" w:ascii="宋体" w:hAnsi="宋体" w:cs="宋体"/>
                <w:kern w:val="0"/>
                <w:sz w:val="20"/>
                <w:szCs w:val="20"/>
              </w:rPr>
              <w:t>数量指标</w:t>
            </w:r>
          </w:p>
        </w:tc>
        <w:tc>
          <w:tcPr>
            <w:tcW w:w="1418" w:type="pct"/>
            <w:gridSpan w:val="3"/>
            <w:tcBorders>
              <w:top w:val="single" w:color="auto" w:sz="4" w:space="0"/>
              <w:left w:val="nil"/>
              <w:bottom w:val="single" w:color="auto" w:sz="4" w:space="0"/>
              <w:right w:val="single" w:color="000000" w:sz="4" w:space="0"/>
            </w:tcBorders>
            <w:shd w:val="clear" w:color="auto" w:fill="auto"/>
            <w:noWrap/>
            <w:vAlign w:val="center"/>
          </w:tcPr>
          <w:p w14:paraId="3558B2A4">
            <w:pPr>
              <w:widowControl/>
              <w:jc w:val="left"/>
              <w:rPr>
                <w:rFonts w:hint="eastAsia" w:ascii="宋体" w:hAnsi="宋体" w:cs="宋体"/>
                <w:kern w:val="0"/>
                <w:sz w:val="20"/>
                <w:szCs w:val="20"/>
              </w:rPr>
            </w:pPr>
            <w:r>
              <w:rPr>
                <w:rFonts w:hint="eastAsia" w:ascii="宋体" w:hAnsi="宋体" w:cs="宋体"/>
                <w:kern w:val="0"/>
                <w:sz w:val="20"/>
                <w:szCs w:val="20"/>
              </w:rPr>
              <w:t>优抚对象补助种类</w:t>
            </w:r>
          </w:p>
        </w:tc>
        <w:tc>
          <w:tcPr>
            <w:tcW w:w="479" w:type="pct"/>
            <w:tcBorders>
              <w:top w:val="nil"/>
              <w:left w:val="nil"/>
              <w:bottom w:val="single" w:color="auto" w:sz="4" w:space="0"/>
              <w:right w:val="single" w:color="auto" w:sz="4" w:space="0"/>
            </w:tcBorders>
            <w:shd w:val="clear" w:color="auto" w:fill="auto"/>
            <w:vAlign w:val="center"/>
          </w:tcPr>
          <w:p w14:paraId="26C9FDA5">
            <w:pPr>
              <w:widowControl/>
              <w:jc w:val="center"/>
              <w:rPr>
                <w:rFonts w:hint="eastAsia" w:ascii="宋体" w:hAnsi="宋体" w:cs="宋体"/>
                <w:kern w:val="0"/>
                <w:sz w:val="20"/>
                <w:szCs w:val="20"/>
              </w:rPr>
            </w:pPr>
            <w:r>
              <w:rPr>
                <w:rFonts w:hint="eastAsia" w:ascii="宋体" w:hAnsi="宋体" w:cs="宋体"/>
                <w:kern w:val="0"/>
                <w:sz w:val="20"/>
                <w:szCs w:val="20"/>
              </w:rPr>
              <w:t>=13类</w:t>
            </w:r>
          </w:p>
        </w:tc>
        <w:tc>
          <w:tcPr>
            <w:tcW w:w="421" w:type="pct"/>
            <w:tcBorders>
              <w:top w:val="nil"/>
              <w:left w:val="nil"/>
              <w:bottom w:val="single" w:color="auto" w:sz="4" w:space="0"/>
              <w:right w:val="single" w:color="auto" w:sz="4" w:space="0"/>
            </w:tcBorders>
            <w:shd w:val="clear" w:color="auto" w:fill="auto"/>
            <w:vAlign w:val="center"/>
          </w:tcPr>
          <w:p w14:paraId="2E146208">
            <w:pPr>
              <w:widowControl/>
              <w:jc w:val="center"/>
              <w:rPr>
                <w:rFonts w:hint="eastAsia" w:ascii="宋体" w:hAnsi="宋体" w:cs="宋体"/>
                <w:kern w:val="0"/>
                <w:sz w:val="20"/>
                <w:szCs w:val="20"/>
              </w:rPr>
            </w:pPr>
            <w:r>
              <w:rPr>
                <w:rFonts w:hint="eastAsia" w:ascii="宋体" w:hAnsi="宋体" w:cs="宋体"/>
                <w:kern w:val="0"/>
                <w:sz w:val="20"/>
                <w:szCs w:val="20"/>
              </w:rPr>
              <w:t>=13类</w:t>
            </w:r>
          </w:p>
        </w:tc>
        <w:tc>
          <w:tcPr>
            <w:tcW w:w="329" w:type="pct"/>
            <w:gridSpan w:val="2"/>
            <w:tcBorders>
              <w:top w:val="single" w:color="auto" w:sz="4" w:space="0"/>
              <w:left w:val="nil"/>
              <w:bottom w:val="single" w:color="auto" w:sz="4" w:space="0"/>
              <w:right w:val="single" w:color="000000" w:sz="4" w:space="0"/>
            </w:tcBorders>
            <w:shd w:val="clear" w:color="auto" w:fill="auto"/>
            <w:vAlign w:val="center"/>
          </w:tcPr>
          <w:p w14:paraId="5F01A47F">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464" w:type="pct"/>
            <w:gridSpan w:val="2"/>
            <w:tcBorders>
              <w:top w:val="single" w:color="auto" w:sz="4" w:space="0"/>
              <w:left w:val="nil"/>
              <w:bottom w:val="single" w:color="auto" w:sz="4" w:space="0"/>
              <w:right w:val="single" w:color="000000" w:sz="4" w:space="0"/>
            </w:tcBorders>
            <w:shd w:val="clear" w:color="auto" w:fill="auto"/>
            <w:vAlign w:val="center"/>
          </w:tcPr>
          <w:p w14:paraId="5D1082F0">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704" w:type="pct"/>
            <w:gridSpan w:val="2"/>
            <w:tcBorders>
              <w:top w:val="single" w:color="auto" w:sz="4" w:space="0"/>
              <w:left w:val="nil"/>
              <w:bottom w:val="single" w:color="auto" w:sz="4" w:space="0"/>
              <w:right w:val="single" w:color="auto" w:sz="4" w:space="0"/>
            </w:tcBorders>
            <w:shd w:val="clear" w:color="auto" w:fill="auto"/>
            <w:vAlign w:val="center"/>
          </w:tcPr>
          <w:p w14:paraId="5D7C131E">
            <w:pPr>
              <w:widowControl/>
              <w:jc w:val="center"/>
              <w:rPr>
                <w:rFonts w:hint="eastAsia" w:ascii="宋体" w:hAnsi="宋体" w:cs="宋体"/>
                <w:kern w:val="0"/>
                <w:sz w:val="20"/>
                <w:szCs w:val="20"/>
              </w:rPr>
            </w:pPr>
            <w:r>
              <w:rPr>
                <w:rFonts w:hint="eastAsia" w:ascii="宋体" w:hAnsi="宋体" w:cs="宋体"/>
                <w:kern w:val="0"/>
                <w:sz w:val="20"/>
                <w:szCs w:val="20"/>
              </w:rPr>
              <w:t>　</w:t>
            </w:r>
          </w:p>
        </w:tc>
        <w:tc>
          <w:tcPr>
            <w:tcW w:w="130" w:type="pct"/>
            <w:vAlign w:val="center"/>
          </w:tcPr>
          <w:p w14:paraId="7BF64F3F">
            <w:pPr>
              <w:widowControl/>
              <w:jc w:val="left"/>
              <w:rPr>
                <w:rFonts w:eastAsia="Times New Roman"/>
                <w:kern w:val="0"/>
                <w:sz w:val="20"/>
                <w:szCs w:val="20"/>
              </w:rPr>
            </w:pPr>
          </w:p>
        </w:tc>
      </w:tr>
      <w:tr w14:paraId="4C306B0F">
        <w:tblPrEx>
          <w:tblCellMar>
            <w:top w:w="0" w:type="dxa"/>
            <w:left w:w="108" w:type="dxa"/>
            <w:bottom w:w="0" w:type="dxa"/>
            <w:right w:w="108" w:type="dxa"/>
          </w:tblCellMar>
        </w:tblPrEx>
        <w:trPr>
          <w:trHeight w:val="402" w:hRule="atLeast"/>
        </w:trPr>
        <w:tc>
          <w:tcPr>
            <w:tcW w:w="282" w:type="pct"/>
            <w:vMerge w:val="continue"/>
            <w:tcBorders>
              <w:top w:val="nil"/>
              <w:left w:val="single" w:color="auto" w:sz="4" w:space="0"/>
              <w:bottom w:val="single" w:color="auto" w:sz="4" w:space="0"/>
              <w:right w:val="single" w:color="auto" w:sz="4" w:space="0"/>
            </w:tcBorders>
            <w:vAlign w:val="center"/>
          </w:tcPr>
          <w:p w14:paraId="612DC0B5">
            <w:pPr>
              <w:widowControl/>
              <w:jc w:val="left"/>
              <w:rPr>
                <w:rFonts w:hint="eastAsia" w:ascii="宋体" w:hAnsi="宋体" w:cs="宋体"/>
                <w:kern w:val="0"/>
                <w:sz w:val="20"/>
                <w:szCs w:val="20"/>
              </w:rPr>
            </w:pPr>
          </w:p>
        </w:tc>
        <w:tc>
          <w:tcPr>
            <w:tcW w:w="282" w:type="pct"/>
            <w:vMerge w:val="continue"/>
            <w:tcBorders>
              <w:top w:val="nil"/>
              <w:left w:val="single" w:color="auto" w:sz="4" w:space="0"/>
              <w:bottom w:val="single" w:color="auto" w:sz="4" w:space="0"/>
              <w:right w:val="single" w:color="auto" w:sz="4" w:space="0"/>
            </w:tcBorders>
            <w:vAlign w:val="center"/>
          </w:tcPr>
          <w:p w14:paraId="3346DC23">
            <w:pPr>
              <w:widowControl/>
              <w:jc w:val="left"/>
              <w:rPr>
                <w:rFonts w:hint="eastAsia" w:ascii="宋体" w:hAnsi="宋体" w:cs="宋体"/>
                <w:kern w:val="0"/>
                <w:sz w:val="20"/>
                <w:szCs w:val="20"/>
              </w:rPr>
            </w:pPr>
          </w:p>
        </w:tc>
        <w:tc>
          <w:tcPr>
            <w:tcW w:w="492" w:type="pct"/>
            <w:tcBorders>
              <w:top w:val="nil"/>
              <w:left w:val="nil"/>
              <w:bottom w:val="single" w:color="auto" w:sz="4" w:space="0"/>
              <w:right w:val="single" w:color="auto" w:sz="4" w:space="0"/>
            </w:tcBorders>
            <w:shd w:val="clear" w:color="auto" w:fill="auto"/>
            <w:vAlign w:val="center"/>
          </w:tcPr>
          <w:p w14:paraId="4077F246">
            <w:pPr>
              <w:widowControl/>
              <w:jc w:val="center"/>
              <w:rPr>
                <w:rFonts w:hint="eastAsia" w:ascii="宋体" w:hAnsi="宋体" w:cs="宋体"/>
                <w:kern w:val="0"/>
                <w:sz w:val="20"/>
                <w:szCs w:val="20"/>
              </w:rPr>
            </w:pPr>
            <w:r>
              <w:rPr>
                <w:rFonts w:hint="eastAsia" w:ascii="宋体" w:hAnsi="宋体" w:cs="宋体"/>
                <w:kern w:val="0"/>
                <w:sz w:val="20"/>
                <w:szCs w:val="20"/>
              </w:rPr>
              <w:t>质量指标</w:t>
            </w:r>
          </w:p>
        </w:tc>
        <w:tc>
          <w:tcPr>
            <w:tcW w:w="1418" w:type="pct"/>
            <w:gridSpan w:val="3"/>
            <w:tcBorders>
              <w:top w:val="single" w:color="auto" w:sz="4" w:space="0"/>
              <w:left w:val="nil"/>
              <w:bottom w:val="single" w:color="auto" w:sz="4" w:space="0"/>
              <w:right w:val="single" w:color="000000" w:sz="4" w:space="0"/>
            </w:tcBorders>
            <w:shd w:val="clear" w:color="auto" w:fill="auto"/>
            <w:noWrap/>
            <w:vAlign w:val="center"/>
          </w:tcPr>
          <w:p w14:paraId="54962CD0">
            <w:pPr>
              <w:widowControl/>
              <w:jc w:val="left"/>
              <w:rPr>
                <w:rFonts w:hint="eastAsia" w:ascii="宋体" w:hAnsi="宋体" w:cs="宋体"/>
                <w:kern w:val="0"/>
                <w:sz w:val="20"/>
                <w:szCs w:val="20"/>
              </w:rPr>
            </w:pPr>
            <w:r>
              <w:rPr>
                <w:rFonts w:hint="eastAsia" w:ascii="宋体" w:hAnsi="宋体" w:cs="宋体"/>
                <w:kern w:val="0"/>
                <w:sz w:val="20"/>
                <w:szCs w:val="20"/>
              </w:rPr>
              <w:t>补助发放准确率</w:t>
            </w:r>
          </w:p>
        </w:tc>
        <w:tc>
          <w:tcPr>
            <w:tcW w:w="479" w:type="pct"/>
            <w:tcBorders>
              <w:top w:val="nil"/>
              <w:left w:val="nil"/>
              <w:bottom w:val="single" w:color="auto" w:sz="4" w:space="0"/>
              <w:right w:val="single" w:color="auto" w:sz="4" w:space="0"/>
            </w:tcBorders>
            <w:shd w:val="clear" w:color="auto" w:fill="auto"/>
            <w:vAlign w:val="center"/>
          </w:tcPr>
          <w:p w14:paraId="2042090C">
            <w:pPr>
              <w:widowControl/>
              <w:jc w:val="center"/>
              <w:rPr>
                <w:rFonts w:hint="eastAsia" w:ascii="宋体" w:hAnsi="宋体" w:cs="宋体"/>
                <w:kern w:val="0"/>
                <w:sz w:val="20"/>
                <w:szCs w:val="20"/>
              </w:rPr>
            </w:pPr>
            <w:r>
              <w:rPr>
                <w:rFonts w:hint="eastAsia" w:ascii="宋体" w:hAnsi="宋体" w:cs="宋体"/>
                <w:kern w:val="0"/>
                <w:sz w:val="20"/>
                <w:szCs w:val="20"/>
              </w:rPr>
              <w:t>&gt;=95%</w:t>
            </w:r>
          </w:p>
        </w:tc>
        <w:tc>
          <w:tcPr>
            <w:tcW w:w="421" w:type="pct"/>
            <w:tcBorders>
              <w:top w:val="nil"/>
              <w:left w:val="nil"/>
              <w:bottom w:val="single" w:color="auto" w:sz="4" w:space="0"/>
              <w:right w:val="single" w:color="auto" w:sz="4" w:space="0"/>
            </w:tcBorders>
            <w:shd w:val="clear" w:color="auto" w:fill="auto"/>
            <w:vAlign w:val="center"/>
          </w:tcPr>
          <w:p w14:paraId="2061D0E7">
            <w:pPr>
              <w:widowControl/>
              <w:jc w:val="center"/>
              <w:rPr>
                <w:rFonts w:hint="eastAsia" w:ascii="宋体" w:hAnsi="宋体" w:cs="宋体"/>
                <w:kern w:val="0"/>
                <w:sz w:val="20"/>
                <w:szCs w:val="20"/>
              </w:rPr>
            </w:pPr>
            <w:r>
              <w:rPr>
                <w:rFonts w:hint="eastAsia" w:ascii="宋体" w:hAnsi="宋体" w:cs="宋体"/>
                <w:kern w:val="0"/>
                <w:sz w:val="20"/>
                <w:szCs w:val="20"/>
              </w:rPr>
              <w:t>=95%</w:t>
            </w:r>
          </w:p>
        </w:tc>
        <w:tc>
          <w:tcPr>
            <w:tcW w:w="329" w:type="pct"/>
            <w:gridSpan w:val="2"/>
            <w:tcBorders>
              <w:top w:val="single" w:color="auto" w:sz="4" w:space="0"/>
              <w:left w:val="nil"/>
              <w:bottom w:val="single" w:color="auto" w:sz="4" w:space="0"/>
              <w:right w:val="single" w:color="000000" w:sz="4" w:space="0"/>
            </w:tcBorders>
            <w:shd w:val="clear" w:color="auto" w:fill="auto"/>
            <w:vAlign w:val="center"/>
          </w:tcPr>
          <w:p w14:paraId="6397E297">
            <w:pPr>
              <w:widowControl/>
              <w:jc w:val="center"/>
              <w:rPr>
                <w:rFonts w:hint="eastAsia" w:ascii="宋体" w:hAnsi="宋体" w:cs="宋体"/>
                <w:kern w:val="0"/>
                <w:sz w:val="20"/>
                <w:szCs w:val="20"/>
              </w:rPr>
            </w:pPr>
            <w:r>
              <w:rPr>
                <w:rFonts w:hint="eastAsia" w:ascii="宋体" w:hAnsi="宋体" w:cs="宋体"/>
                <w:kern w:val="0"/>
                <w:sz w:val="20"/>
                <w:szCs w:val="20"/>
              </w:rPr>
              <w:t>5</w:t>
            </w:r>
          </w:p>
        </w:tc>
        <w:tc>
          <w:tcPr>
            <w:tcW w:w="464" w:type="pct"/>
            <w:gridSpan w:val="2"/>
            <w:tcBorders>
              <w:top w:val="single" w:color="auto" w:sz="4" w:space="0"/>
              <w:left w:val="nil"/>
              <w:bottom w:val="single" w:color="auto" w:sz="4" w:space="0"/>
              <w:right w:val="single" w:color="000000" w:sz="4" w:space="0"/>
            </w:tcBorders>
            <w:shd w:val="clear" w:color="auto" w:fill="auto"/>
            <w:vAlign w:val="center"/>
          </w:tcPr>
          <w:p w14:paraId="54DCAF4B">
            <w:pPr>
              <w:widowControl/>
              <w:jc w:val="center"/>
              <w:rPr>
                <w:rFonts w:hint="eastAsia" w:ascii="宋体" w:hAnsi="宋体" w:cs="宋体"/>
                <w:kern w:val="0"/>
                <w:sz w:val="20"/>
                <w:szCs w:val="20"/>
              </w:rPr>
            </w:pPr>
            <w:r>
              <w:rPr>
                <w:rFonts w:hint="eastAsia" w:ascii="宋体" w:hAnsi="宋体" w:cs="宋体"/>
                <w:kern w:val="0"/>
                <w:sz w:val="20"/>
                <w:szCs w:val="20"/>
              </w:rPr>
              <w:t>5</w:t>
            </w:r>
          </w:p>
        </w:tc>
        <w:tc>
          <w:tcPr>
            <w:tcW w:w="704" w:type="pct"/>
            <w:gridSpan w:val="2"/>
            <w:tcBorders>
              <w:top w:val="single" w:color="auto" w:sz="4" w:space="0"/>
              <w:left w:val="nil"/>
              <w:bottom w:val="single" w:color="auto" w:sz="4" w:space="0"/>
              <w:right w:val="single" w:color="auto" w:sz="4" w:space="0"/>
            </w:tcBorders>
            <w:shd w:val="clear" w:color="auto" w:fill="auto"/>
            <w:vAlign w:val="center"/>
          </w:tcPr>
          <w:p w14:paraId="313DB46D">
            <w:pPr>
              <w:widowControl/>
              <w:jc w:val="center"/>
              <w:rPr>
                <w:rFonts w:hint="eastAsia" w:ascii="宋体" w:hAnsi="宋体" w:cs="宋体"/>
                <w:kern w:val="0"/>
                <w:sz w:val="20"/>
                <w:szCs w:val="20"/>
              </w:rPr>
            </w:pPr>
            <w:r>
              <w:rPr>
                <w:rFonts w:hint="eastAsia" w:ascii="宋体" w:hAnsi="宋体" w:cs="宋体"/>
                <w:kern w:val="0"/>
                <w:sz w:val="20"/>
                <w:szCs w:val="20"/>
              </w:rPr>
              <w:t>　</w:t>
            </w:r>
          </w:p>
        </w:tc>
        <w:tc>
          <w:tcPr>
            <w:tcW w:w="130" w:type="pct"/>
            <w:vAlign w:val="center"/>
          </w:tcPr>
          <w:p w14:paraId="273F8DD2">
            <w:pPr>
              <w:widowControl/>
              <w:jc w:val="left"/>
              <w:rPr>
                <w:rFonts w:eastAsia="Times New Roman"/>
                <w:kern w:val="0"/>
                <w:sz w:val="20"/>
                <w:szCs w:val="20"/>
              </w:rPr>
            </w:pPr>
          </w:p>
        </w:tc>
      </w:tr>
      <w:tr w14:paraId="4D004420">
        <w:tblPrEx>
          <w:tblCellMar>
            <w:top w:w="0" w:type="dxa"/>
            <w:left w:w="108" w:type="dxa"/>
            <w:bottom w:w="0" w:type="dxa"/>
            <w:right w:w="108" w:type="dxa"/>
          </w:tblCellMar>
        </w:tblPrEx>
        <w:trPr>
          <w:trHeight w:val="402" w:hRule="atLeast"/>
        </w:trPr>
        <w:tc>
          <w:tcPr>
            <w:tcW w:w="282" w:type="pct"/>
            <w:vMerge w:val="continue"/>
            <w:tcBorders>
              <w:top w:val="nil"/>
              <w:left w:val="single" w:color="auto" w:sz="4" w:space="0"/>
              <w:bottom w:val="single" w:color="auto" w:sz="4" w:space="0"/>
              <w:right w:val="single" w:color="auto" w:sz="4" w:space="0"/>
            </w:tcBorders>
            <w:vAlign w:val="center"/>
          </w:tcPr>
          <w:p w14:paraId="7887FA02">
            <w:pPr>
              <w:widowControl/>
              <w:jc w:val="left"/>
              <w:rPr>
                <w:rFonts w:hint="eastAsia" w:ascii="宋体" w:hAnsi="宋体" w:cs="宋体"/>
                <w:kern w:val="0"/>
                <w:sz w:val="20"/>
                <w:szCs w:val="20"/>
              </w:rPr>
            </w:pPr>
          </w:p>
        </w:tc>
        <w:tc>
          <w:tcPr>
            <w:tcW w:w="282" w:type="pct"/>
            <w:vMerge w:val="continue"/>
            <w:tcBorders>
              <w:top w:val="nil"/>
              <w:left w:val="single" w:color="auto" w:sz="4" w:space="0"/>
              <w:bottom w:val="single" w:color="auto" w:sz="4" w:space="0"/>
              <w:right w:val="single" w:color="auto" w:sz="4" w:space="0"/>
            </w:tcBorders>
            <w:vAlign w:val="center"/>
          </w:tcPr>
          <w:p w14:paraId="138F1D95">
            <w:pPr>
              <w:widowControl/>
              <w:jc w:val="left"/>
              <w:rPr>
                <w:rFonts w:hint="eastAsia" w:ascii="宋体" w:hAnsi="宋体" w:cs="宋体"/>
                <w:kern w:val="0"/>
                <w:sz w:val="20"/>
                <w:szCs w:val="20"/>
              </w:rPr>
            </w:pPr>
          </w:p>
        </w:tc>
        <w:tc>
          <w:tcPr>
            <w:tcW w:w="492" w:type="pct"/>
            <w:tcBorders>
              <w:top w:val="nil"/>
              <w:left w:val="nil"/>
              <w:bottom w:val="single" w:color="auto" w:sz="4" w:space="0"/>
              <w:right w:val="single" w:color="auto" w:sz="4" w:space="0"/>
            </w:tcBorders>
            <w:shd w:val="clear" w:color="auto" w:fill="auto"/>
            <w:vAlign w:val="center"/>
          </w:tcPr>
          <w:p w14:paraId="746EA488">
            <w:pPr>
              <w:widowControl/>
              <w:jc w:val="center"/>
              <w:rPr>
                <w:rFonts w:hint="eastAsia" w:ascii="宋体" w:hAnsi="宋体" w:cs="宋体"/>
                <w:kern w:val="0"/>
                <w:sz w:val="20"/>
                <w:szCs w:val="20"/>
              </w:rPr>
            </w:pPr>
            <w:r>
              <w:rPr>
                <w:rFonts w:hint="eastAsia" w:ascii="宋体" w:hAnsi="宋体" w:cs="宋体"/>
                <w:kern w:val="0"/>
                <w:sz w:val="20"/>
                <w:szCs w:val="20"/>
              </w:rPr>
              <w:t>质量指标</w:t>
            </w:r>
          </w:p>
        </w:tc>
        <w:tc>
          <w:tcPr>
            <w:tcW w:w="1418" w:type="pct"/>
            <w:gridSpan w:val="3"/>
            <w:tcBorders>
              <w:top w:val="single" w:color="auto" w:sz="4" w:space="0"/>
              <w:left w:val="nil"/>
              <w:bottom w:val="single" w:color="auto" w:sz="4" w:space="0"/>
              <w:right w:val="single" w:color="000000" w:sz="4" w:space="0"/>
            </w:tcBorders>
            <w:shd w:val="clear" w:color="auto" w:fill="auto"/>
            <w:noWrap/>
            <w:vAlign w:val="center"/>
          </w:tcPr>
          <w:p w14:paraId="53AAF994">
            <w:pPr>
              <w:widowControl/>
              <w:jc w:val="left"/>
              <w:rPr>
                <w:rFonts w:hint="eastAsia" w:ascii="宋体" w:hAnsi="宋体" w:cs="宋体"/>
                <w:kern w:val="0"/>
                <w:sz w:val="20"/>
                <w:szCs w:val="20"/>
              </w:rPr>
            </w:pPr>
            <w:r>
              <w:rPr>
                <w:rFonts w:hint="eastAsia" w:ascii="宋体" w:hAnsi="宋体" w:cs="宋体"/>
                <w:kern w:val="0"/>
                <w:sz w:val="20"/>
                <w:szCs w:val="20"/>
              </w:rPr>
              <w:t>补助标准执行率（%）</w:t>
            </w:r>
          </w:p>
        </w:tc>
        <w:tc>
          <w:tcPr>
            <w:tcW w:w="479" w:type="pct"/>
            <w:tcBorders>
              <w:top w:val="nil"/>
              <w:left w:val="nil"/>
              <w:bottom w:val="single" w:color="auto" w:sz="4" w:space="0"/>
              <w:right w:val="single" w:color="auto" w:sz="4" w:space="0"/>
            </w:tcBorders>
            <w:shd w:val="clear" w:color="auto" w:fill="auto"/>
            <w:vAlign w:val="center"/>
          </w:tcPr>
          <w:p w14:paraId="61358C7D">
            <w:pPr>
              <w:widowControl/>
              <w:jc w:val="center"/>
              <w:rPr>
                <w:rFonts w:hint="eastAsia" w:ascii="宋体" w:hAnsi="宋体" w:cs="宋体"/>
                <w:kern w:val="0"/>
                <w:sz w:val="20"/>
                <w:szCs w:val="20"/>
              </w:rPr>
            </w:pPr>
            <w:r>
              <w:rPr>
                <w:rFonts w:hint="eastAsia" w:ascii="宋体" w:hAnsi="宋体" w:cs="宋体"/>
                <w:kern w:val="0"/>
                <w:sz w:val="20"/>
                <w:szCs w:val="20"/>
              </w:rPr>
              <w:t>=100%</w:t>
            </w:r>
          </w:p>
        </w:tc>
        <w:tc>
          <w:tcPr>
            <w:tcW w:w="421" w:type="pct"/>
            <w:tcBorders>
              <w:top w:val="nil"/>
              <w:left w:val="nil"/>
              <w:bottom w:val="single" w:color="auto" w:sz="4" w:space="0"/>
              <w:right w:val="single" w:color="auto" w:sz="4" w:space="0"/>
            </w:tcBorders>
            <w:shd w:val="clear" w:color="auto" w:fill="auto"/>
            <w:vAlign w:val="center"/>
          </w:tcPr>
          <w:p w14:paraId="5E5B7C90">
            <w:pPr>
              <w:widowControl/>
              <w:jc w:val="center"/>
              <w:rPr>
                <w:rFonts w:hint="eastAsia" w:ascii="宋体" w:hAnsi="宋体" w:cs="宋体"/>
                <w:kern w:val="0"/>
                <w:sz w:val="20"/>
                <w:szCs w:val="20"/>
              </w:rPr>
            </w:pPr>
            <w:r>
              <w:rPr>
                <w:rFonts w:hint="eastAsia" w:ascii="宋体" w:hAnsi="宋体" w:cs="宋体"/>
                <w:kern w:val="0"/>
                <w:sz w:val="20"/>
                <w:szCs w:val="20"/>
              </w:rPr>
              <w:t>=100%</w:t>
            </w:r>
          </w:p>
        </w:tc>
        <w:tc>
          <w:tcPr>
            <w:tcW w:w="329" w:type="pct"/>
            <w:gridSpan w:val="2"/>
            <w:tcBorders>
              <w:top w:val="single" w:color="auto" w:sz="4" w:space="0"/>
              <w:left w:val="nil"/>
              <w:bottom w:val="single" w:color="auto" w:sz="4" w:space="0"/>
              <w:right w:val="single" w:color="000000" w:sz="4" w:space="0"/>
            </w:tcBorders>
            <w:shd w:val="clear" w:color="auto" w:fill="auto"/>
            <w:vAlign w:val="center"/>
          </w:tcPr>
          <w:p w14:paraId="76C68264">
            <w:pPr>
              <w:widowControl/>
              <w:jc w:val="center"/>
              <w:rPr>
                <w:rFonts w:hint="eastAsia" w:ascii="宋体" w:hAnsi="宋体" w:cs="宋体"/>
                <w:kern w:val="0"/>
                <w:sz w:val="20"/>
                <w:szCs w:val="20"/>
              </w:rPr>
            </w:pPr>
            <w:r>
              <w:rPr>
                <w:rFonts w:hint="eastAsia" w:ascii="宋体" w:hAnsi="宋体" w:cs="宋体"/>
                <w:kern w:val="0"/>
                <w:sz w:val="20"/>
                <w:szCs w:val="20"/>
              </w:rPr>
              <w:t>5</w:t>
            </w:r>
          </w:p>
        </w:tc>
        <w:tc>
          <w:tcPr>
            <w:tcW w:w="464" w:type="pct"/>
            <w:gridSpan w:val="2"/>
            <w:tcBorders>
              <w:top w:val="single" w:color="auto" w:sz="4" w:space="0"/>
              <w:left w:val="nil"/>
              <w:bottom w:val="single" w:color="auto" w:sz="4" w:space="0"/>
              <w:right w:val="single" w:color="000000" w:sz="4" w:space="0"/>
            </w:tcBorders>
            <w:shd w:val="clear" w:color="auto" w:fill="auto"/>
            <w:vAlign w:val="center"/>
          </w:tcPr>
          <w:p w14:paraId="38852D9D">
            <w:pPr>
              <w:widowControl/>
              <w:jc w:val="center"/>
              <w:rPr>
                <w:rFonts w:hint="eastAsia" w:ascii="宋体" w:hAnsi="宋体" w:cs="宋体"/>
                <w:kern w:val="0"/>
                <w:sz w:val="20"/>
                <w:szCs w:val="20"/>
              </w:rPr>
            </w:pPr>
            <w:r>
              <w:rPr>
                <w:rFonts w:hint="eastAsia" w:ascii="宋体" w:hAnsi="宋体" w:cs="宋体"/>
                <w:kern w:val="0"/>
                <w:sz w:val="20"/>
                <w:szCs w:val="20"/>
              </w:rPr>
              <w:t>5</w:t>
            </w:r>
          </w:p>
        </w:tc>
        <w:tc>
          <w:tcPr>
            <w:tcW w:w="704" w:type="pct"/>
            <w:gridSpan w:val="2"/>
            <w:tcBorders>
              <w:top w:val="single" w:color="auto" w:sz="4" w:space="0"/>
              <w:left w:val="nil"/>
              <w:bottom w:val="single" w:color="auto" w:sz="4" w:space="0"/>
              <w:right w:val="single" w:color="auto" w:sz="4" w:space="0"/>
            </w:tcBorders>
            <w:shd w:val="clear" w:color="auto" w:fill="auto"/>
            <w:vAlign w:val="center"/>
          </w:tcPr>
          <w:p w14:paraId="6833C077">
            <w:pPr>
              <w:widowControl/>
              <w:jc w:val="center"/>
              <w:rPr>
                <w:rFonts w:hint="eastAsia" w:ascii="宋体" w:hAnsi="宋体" w:cs="宋体"/>
                <w:kern w:val="0"/>
                <w:sz w:val="20"/>
                <w:szCs w:val="20"/>
              </w:rPr>
            </w:pPr>
            <w:r>
              <w:rPr>
                <w:rFonts w:hint="eastAsia" w:ascii="宋体" w:hAnsi="宋体" w:cs="宋体"/>
                <w:kern w:val="0"/>
                <w:sz w:val="20"/>
                <w:szCs w:val="20"/>
              </w:rPr>
              <w:t>　</w:t>
            </w:r>
          </w:p>
        </w:tc>
        <w:tc>
          <w:tcPr>
            <w:tcW w:w="130" w:type="pct"/>
            <w:vAlign w:val="center"/>
          </w:tcPr>
          <w:p w14:paraId="246B8CAB">
            <w:pPr>
              <w:widowControl/>
              <w:jc w:val="left"/>
              <w:rPr>
                <w:rFonts w:eastAsia="Times New Roman"/>
                <w:kern w:val="0"/>
                <w:sz w:val="20"/>
                <w:szCs w:val="20"/>
              </w:rPr>
            </w:pPr>
          </w:p>
        </w:tc>
      </w:tr>
      <w:tr w14:paraId="330DD123">
        <w:tblPrEx>
          <w:tblCellMar>
            <w:top w:w="0" w:type="dxa"/>
            <w:left w:w="108" w:type="dxa"/>
            <w:bottom w:w="0" w:type="dxa"/>
            <w:right w:w="108" w:type="dxa"/>
          </w:tblCellMar>
        </w:tblPrEx>
        <w:trPr>
          <w:trHeight w:val="402" w:hRule="atLeast"/>
        </w:trPr>
        <w:tc>
          <w:tcPr>
            <w:tcW w:w="282" w:type="pct"/>
            <w:vMerge w:val="continue"/>
            <w:tcBorders>
              <w:top w:val="nil"/>
              <w:left w:val="single" w:color="auto" w:sz="4" w:space="0"/>
              <w:bottom w:val="single" w:color="auto" w:sz="4" w:space="0"/>
              <w:right w:val="single" w:color="auto" w:sz="4" w:space="0"/>
            </w:tcBorders>
            <w:vAlign w:val="center"/>
          </w:tcPr>
          <w:p w14:paraId="1E426ED2">
            <w:pPr>
              <w:widowControl/>
              <w:jc w:val="left"/>
              <w:rPr>
                <w:rFonts w:hint="eastAsia" w:ascii="宋体" w:hAnsi="宋体" w:cs="宋体"/>
                <w:kern w:val="0"/>
                <w:sz w:val="20"/>
                <w:szCs w:val="20"/>
              </w:rPr>
            </w:pPr>
          </w:p>
        </w:tc>
        <w:tc>
          <w:tcPr>
            <w:tcW w:w="282" w:type="pct"/>
            <w:vMerge w:val="continue"/>
            <w:tcBorders>
              <w:top w:val="nil"/>
              <w:left w:val="single" w:color="auto" w:sz="4" w:space="0"/>
              <w:bottom w:val="single" w:color="auto" w:sz="4" w:space="0"/>
              <w:right w:val="single" w:color="auto" w:sz="4" w:space="0"/>
            </w:tcBorders>
            <w:vAlign w:val="center"/>
          </w:tcPr>
          <w:p w14:paraId="75A2370B">
            <w:pPr>
              <w:widowControl/>
              <w:jc w:val="left"/>
              <w:rPr>
                <w:rFonts w:hint="eastAsia" w:ascii="宋体" w:hAnsi="宋体" w:cs="宋体"/>
                <w:kern w:val="0"/>
                <w:sz w:val="20"/>
                <w:szCs w:val="20"/>
              </w:rPr>
            </w:pPr>
          </w:p>
        </w:tc>
        <w:tc>
          <w:tcPr>
            <w:tcW w:w="492" w:type="pct"/>
            <w:tcBorders>
              <w:top w:val="nil"/>
              <w:left w:val="nil"/>
              <w:bottom w:val="single" w:color="auto" w:sz="4" w:space="0"/>
              <w:right w:val="single" w:color="auto" w:sz="4" w:space="0"/>
            </w:tcBorders>
            <w:shd w:val="clear" w:color="auto" w:fill="auto"/>
            <w:vAlign w:val="center"/>
          </w:tcPr>
          <w:p w14:paraId="6B268925">
            <w:pPr>
              <w:widowControl/>
              <w:jc w:val="center"/>
              <w:rPr>
                <w:rFonts w:hint="eastAsia" w:ascii="宋体" w:hAnsi="宋体" w:cs="宋体"/>
                <w:kern w:val="0"/>
                <w:sz w:val="20"/>
                <w:szCs w:val="20"/>
              </w:rPr>
            </w:pPr>
            <w:r>
              <w:rPr>
                <w:rFonts w:hint="eastAsia" w:ascii="宋体" w:hAnsi="宋体" w:cs="宋体"/>
                <w:kern w:val="0"/>
                <w:sz w:val="20"/>
                <w:szCs w:val="20"/>
              </w:rPr>
              <w:t>时效指标</w:t>
            </w:r>
          </w:p>
        </w:tc>
        <w:tc>
          <w:tcPr>
            <w:tcW w:w="1418" w:type="pct"/>
            <w:gridSpan w:val="3"/>
            <w:tcBorders>
              <w:top w:val="single" w:color="auto" w:sz="4" w:space="0"/>
              <w:left w:val="nil"/>
              <w:bottom w:val="single" w:color="auto" w:sz="4" w:space="0"/>
              <w:right w:val="single" w:color="000000" w:sz="4" w:space="0"/>
            </w:tcBorders>
            <w:shd w:val="clear" w:color="auto" w:fill="auto"/>
            <w:noWrap/>
            <w:vAlign w:val="center"/>
          </w:tcPr>
          <w:p w14:paraId="40683CDD">
            <w:pPr>
              <w:widowControl/>
              <w:jc w:val="left"/>
              <w:rPr>
                <w:rFonts w:hint="eastAsia" w:ascii="宋体" w:hAnsi="宋体" w:cs="宋体"/>
                <w:kern w:val="0"/>
                <w:sz w:val="20"/>
                <w:szCs w:val="20"/>
              </w:rPr>
            </w:pPr>
            <w:r>
              <w:rPr>
                <w:rFonts w:hint="eastAsia" w:ascii="宋体" w:hAnsi="宋体" w:cs="宋体"/>
                <w:kern w:val="0"/>
                <w:sz w:val="20"/>
                <w:szCs w:val="20"/>
              </w:rPr>
              <w:t>优抚对象经费发放及时率</w:t>
            </w:r>
          </w:p>
        </w:tc>
        <w:tc>
          <w:tcPr>
            <w:tcW w:w="479" w:type="pct"/>
            <w:tcBorders>
              <w:top w:val="nil"/>
              <w:left w:val="nil"/>
              <w:bottom w:val="single" w:color="auto" w:sz="4" w:space="0"/>
              <w:right w:val="single" w:color="auto" w:sz="4" w:space="0"/>
            </w:tcBorders>
            <w:shd w:val="clear" w:color="auto" w:fill="auto"/>
            <w:vAlign w:val="center"/>
          </w:tcPr>
          <w:p w14:paraId="79F3BDD4">
            <w:pPr>
              <w:widowControl/>
              <w:jc w:val="center"/>
              <w:rPr>
                <w:rFonts w:hint="eastAsia" w:ascii="宋体" w:hAnsi="宋体" w:cs="宋体"/>
                <w:kern w:val="0"/>
                <w:sz w:val="20"/>
                <w:szCs w:val="20"/>
              </w:rPr>
            </w:pPr>
            <w:r>
              <w:rPr>
                <w:rFonts w:hint="eastAsia" w:ascii="宋体" w:hAnsi="宋体" w:cs="宋体"/>
                <w:kern w:val="0"/>
                <w:sz w:val="20"/>
                <w:szCs w:val="20"/>
              </w:rPr>
              <w:t>=100%</w:t>
            </w:r>
          </w:p>
        </w:tc>
        <w:tc>
          <w:tcPr>
            <w:tcW w:w="421" w:type="pct"/>
            <w:tcBorders>
              <w:top w:val="nil"/>
              <w:left w:val="nil"/>
              <w:bottom w:val="single" w:color="auto" w:sz="4" w:space="0"/>
              <w:right w:val="single" w:color="auto" w:sz="4" w:space="0"/>
            </w:tcBorders>
            <w:shd w:val="clear" w:color="auto" w:fill="auto"/>
            <w:vAlign w:val="center"/>
          </w:tcPr>
          <w:p w14:paraId="16C65C2A">
            <w:pPr>
              <w:widowControl/>
              <w:jc w:val="center"/>
              <w:rPr>
                <w:rFonts w:hint="eastAsia" w:ascii="宋体" w:hAnsi="宋体" w:cs="宋体"/>
                <w:kern w:val="0"/>
                <w:sz w:val="20"/>
                <w:szCs w:val="20"/>
              </w:rPr>
            </w:pPr>
            <w:r>
              <w:rPr>
                <w:rFonts w:hint="eastAsia" w:ascii="宋体" w:hAnsi="宋体" w:cs="宋体"/>
                <w:kern w:val="0"/>
                <w:sz w:val="20"/>
                <w:szCs w:val="20"/>
              </w:rPr>
              <w:t>=100%</w:t>
            </w:r>
          </w:p>
        </w:tc>
        <w:tc>
          <w:tcPr>
            <w:tcW w:w="329" w:type="pct"/>
            <w:gridSpan w:val="2"/>
            <w:tcBorders>
              <w:top w:val="single" w:color="auto" w:sz="4" w:space="0"/>
              <w:left w:val="nil"/>
              <w:bottom w:val="single" w:color="auto" w:sz="4" w:space="0"/>
              <w:right w:val="single" w:color="000000" w:sz="4" w:space="0"/>
            </w:tcBorders>
            <w:shd w:val="clear" w:color="auto" w:fill="auto"/>
            <w:vAlign w:val="center"/>
          </w:tcPr>
          <w:p w14:paraId="52CA6B55">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464" w:type="pct"/>
            <w:gridSpan w:val="2"/>
            <w:tcBorders>
              <w:top w:val="single" w:color="auto" w:sz="4" w:space="0"/>
              <w:left w:val="nil"/>
              <w:bottom w:val="single" w:color="auto" w:sz="4" w:space="0"/>
              <w:right w:val="single" w:color="000000" w:sz="4" w:space="0"/>
            </w:tcBorders>
            <w:shd w:val="clear" w:color="auto" w:fill="auto"/>
            <w:vAlign w:val="center"/>
          </w:tcPr>
          <w:p w14:paraId="3A847EEF">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704" w:type="pct"/>
            <w:gridSpan w:val="2"/>
            <w:tcBorders>
              <w:top w:val="single" w:color="auto" w:sz="4" w:space="0"/>
              <w:left w:val="nil"/>
              <w:bottom w:val="single" w:color="auto" w:sz="4" w:space="0"/>
              <w:right w:val="single" w:color="auto" w:sz="4" w:space="0"/>
            </w:tcBorders>
            <w:shd w:val="clear" w:color="auto" w:fill="auto"/>
            <w:vAlign w:val="center"/>
          </w:tcPr>
          <w:p w14:paraId="0806759D">
            <w:pPr>
              <w:widowControl/>
              <w:jc w:val="center"/>
              <w:rPr>
                <w:rFonts w:hint="eastAsia" w:ascii="宋体" w:hAnsi="宋体" w:cs="宋体"/>
                <w:kern w:val="0"/>
                <w:sz w:val="20"/>
                <w:szCs w:val="20"/>
              </w:rPr>
            </w:pPr>
            <w:r>
              <w:rPr>
                <w:rFonts w:hint="eastAsia" w:ascii="宋体" w:hAnsi="宋体" w:cs="宋体"/>
                <w:kern w:val="0"/>
                <w:sz w:val="20"/>
                <w:szCs w:val="20"/>
              </w:rPr>
              <w:t>　</w:t>
            </w:r>
          </w:p>
        </w:tc>
        <w:tc>
          <w:tcPr>
            <w:tcW w:w="130" w:type="pct"/>
            <w:vAlign w:val="center"/>
          </w:tcPr>
          <w:p w14:paraId="7ADAB2E4">
            <w:pPr>
              <w:widowControl/>
              <w:jc w:val="left"/>
              <w:rPr>
                <w:rFonts w:eastAsia="Times New Roman"/>
                <w:kern w:val="0"/>
                <w:sz w:val="20"/>
                <w:szCs w:val="20"/>
              </w:rPr>
            </w:pPr>
          </w:p>
        </w:tc>
      </w:tr>
      <w:tr w14:paraId="72C2A44A">
        <w:tblPrEx>
          <w:tblCellMar>
            <w:top w:w="0" w:type="dxa"/>
            <w:left w:w="108" w:type="dxa"/>
            <w:bottom w:w="0" w:type="dxa"/>
            <w:right w:w="108" w:type="dxa"/>
          </w:tblCellMar>
        </w:tblPrEx>
        <w:trPr>
          <w:trHeight w:val="402" w:hRule="atLeast"/>
        </w:trPr>
        <w:tc>
          <w:tcPr>
            <w:tcW w:w="282" w:type="pct"/>
            <w:vMerge w:val="continue"/>
            <w:tcBorders>
              <w:top w:val="nil"/>
              <w:left w:val="single" w:color="auto" w:sz="4" w:space="0"/>
              <w:bottom w:val="single" w:color="auto" w:sz="4" w:space="0"/>
              <w:right w:val="single" w:color="auto" w:sz="4" w:space="0"/>
            </w:tcBorders>
            <w:vAlign w:val="center"/>
          </w:tcPr>
          <w:p w14:paraId="341CEC61">
            <w:pPr>
              <w:widowControl/>
              <w:jc w:val="left"/>
              <w:rPr>
                <w:rFonts w:hint="eastAsia" w:ascii="宋体" w:hAnsi="宋体" w:cs="宋体"/>
                <w:kern w:val="0"/>
                <w:sz w:val="20"/>
                <w:szCs w:val="20"/>
              </w:rPr>
            </w:pPr>
          </w:p>
        </w:tc>
        <w:tc>
          <w:tcPr>
            <w:tcW w:w="282" w:type="pct"/>
            <w:vMerge w:val="restart"/>
            <w:tcBorders>
              <w:top w:val="nil"/>
              <w:left w:val="single" w:color="auto" w:sz="4" w:space="0"/>
              <w:bottom w:val="single" w:color="auto" w:sz="4" w:space="0"/>
              <w:right w:val="single" w:color="auto" w:sz="4" w:space="0"/>
            </w:tcBorders>
            <w:shd w:val="clear" w:color="auto" w:fill="auto"/>
            <w:vAlign w:val="center"/>
          </w:tcPr>
          <w:p w14:paraId="54A515B6">
            <w:pPr>
              <w:widowControl/>
              <w:jc w:val="center"/>
              <w:rPr>
                <w:rFonts w:hint="eastAsia" w:ascii="宋体" w:hAnsi="宋体" w:cs="宋体"/>
                <w:kern w:val="0"/>
                <w:sz w:val="20"/>
                <w:szCs w:val="20"/>
              </w:rPr>
            </w:pPr>
            <w:r>
              <w:rPr>
                <w:rFonts w:hint="eastAsia" w:ascii="宋体" w:hAnsi="宋体" w:cs="宋体"/>
                <w:kern w:val="0"/>
                <w:sz w:val="20"/>
                <w:szCs w:val="20"/>
              </w:rPr>
              <w:t>成本指标</w:t>
            </w:r>
          </w:p>
        </w:tc>
        <w:tc>
          <w:tcPr>
            <w:tcW w:w="492" w:type="pct"/>
            <w:tcBorders>
              <w:top w:val="nil"/>
              <w:left w:val="nil"/>
              <w:bottom w:val="single" w:color="auto" w:sz="4" w:space="0"/>
              <w:right w:val="single" w:color="auto" w:sz="4" w:space="0"/>
            </w:tcBorders>
            <w:shd w:val="clear" w:color="auto" w:fill="auto"/>
            <w:vAlign w:val="center"/>
          </w:tcPr>
          <w:p w14:paraId="5C3EC41A">
            <w:pPr>
              <w:widowControl/>
              <w:jc w:val="center"/>
              <w:rPr>
                <w:rFonts w:hint="eastAsia" w:ascii="宋体" w:hAnsi="宋体" w:cs="宋体"/>
                <w:kern w:val="0"/>
                <w:sz w:val="20"/>
                <w:szCs w:val="20"/>
              </w:rPr>
            </w:pPr>
            <w:r>
              <w:rPr>
                <w:rFonts w:hint="eastAsia" w:ascii="宋体" w:hAnsi="宋体" w:cs="宋体"/>
                <w:kern w:val="0"/>
                <w:sz w:val="20"/>
                <w:szCs w:val="20"/>
              </w:rPr>
              <w:t>经济成本指标</w:t>
            </w:r>
          </w:p>
        </w:tc>
        <w:tc>
          <w:tcPr>
            <w:tcW w:w="1418" w:type="pct"/>
            <w:gridSpan w:val="3"/>
            <w:tcBorders>
              <w:top w:val="single" w:color="auto" w:sz="4" w:space="0"/>
              <w:left w:val="nil"/>
              <w:bottom w:val="single" w:color="auto" w:sz="4" w:space="0"/>
              <w:right w:val="single" w:color="000000" w:sz="4" w:space="0"/>
            </w:tcBorders>
            <w:shd w:val="clear" w:color="auto" w:fill="auto"/>
            <w:noWrap/>
            <w:vAlign w:val="center"/>
          </w:tcPr>
          <w:p w14:paraId="6EF6033E">
            <w:pPr>
              <w:widowControl/>
              <w:jc w:val="left"/>
              <w:rPr>
                <w:rFonts w:hint="eastAsia" w:ascii="宋体" w:hAnsi="宋体" w:cs="宋体"/>
                <w:kern w:val="0"/>
                <w:sz w:val="20"/>
                <w:szCs w:val="20"/>
              </w:rPr>
            </w:pPr>
            <w:r>
              <w:rPr>
                <w:rFonts w:hint="eastAsia" w:ascii="宋体" w:hAnsi="宋体" w:cs="宋体"/>
                <w:kern w:val="0"/>
                <w:sz w:val="20"/>
                <w:szCs w:val="20"/>
              </w:rPr>
              <w:t>人均补助标准</w:t>
            </w:r>
          </w:p>
        </w:tc>
        <w:tc>
          <w:tcPr>
            <w:tcW w:w="479" w:type="pct"/>
            <w:tcBorders>
              <w:top w:val="nil"/>
              <w:left w:val="nil"/>
              <w:bottom w:val="single" w:color="auto" w:sz="4" w:space="0"/>
              <w:right w:val="single" w:color="auto" w:sz="4" w:space="0"/>
            </w:tcBorders>
            <w:shd w:val="clear" w:color="auto" w:fill="auto"/>
            <w:vAlign w:val="center"/>
          </w:tcPr>
          <w:p w14:paraId="6EE74DA4">
            <w:pPr>
              <w:widowControl/>
              <w:jc w:val="center"/>
              <w:rPr>
                <w:rFonts w:hint="eastAsia" w:ascii="宋体" w:hAnsi="宋体" w:cs="宋体"/>
                <w:kern w:val="0"/>
                <w:sz w:val="20"/>
                <w:szCs w:val="20"/>
              </w:rPr>
            </w:pPr>
            <w:r>
              <w:rPr>
                <w:rFonts w:hint="eastAsia" w:ascii="宋体" w:hAnsi="宋体" w:cs="宋体"/>
                <w:kern w:val="0"/>
                <w:sz w:val="20"/>
                <w:szCs w:val="20"/>
              </w:rPr>
              <w:t>&lt;=1520元/月</w:t>
            </w:r>
          </w:p>
        </w:tc>
        <w:tc>
          <w:tcPr>
            <w:tcW w:w="421" w:type="pct"/>
            <w:tcBorders>
              <w:top w:val="nil"/>
              <w:left w:val="nil"/>
              <w:bottom w:val="single" w:color="auto" w:sz="4" w:space="0"/>
              <w:right w:val="single" w:color="auto" w:sz="4" w:space="0"/>
            </w:tcBorders>
            <w:shd w:val="clear" w:color="auto" w:fill="auto"/>
            <w:vAlign w:val="center"/>
          </w:tcPr>
          <w:p w14:paraId="3A9A90FA">
            <w:pPr>
              <w:widowControl/>
              <w:jc w:val="center"/>
              <w:rPr>
                <w:rFonts w:hint="eastAsia" w:ascii="宋体" w:hAnsi="宋体" w:cs="宋体"/>
                <w:kern w:val="0"/>
                <w:sz w:val="20"/>
                <w:szCs w:val="20"/>
              </w:rPr>
            </w:pPr>
            <w:r>
              <w:rPr>
                <w:rFonts w:hint="eastAsia" w:ascii="宋体" w:hAnsi="宋体" w:cs="宋体"/>
                <w:kern w:val="0"/>
                <w:sz w:val="20"/>
                <w:szCs w:val="20"/>
              </w:rPr>
              <w:t>=1520元/月</w:t>
            </w:r>
          </w:p>
        </w:tc>
        <w:tc>
          <w:tcPr>
            <w:tcW w:w="329" w:type="pct"/>
            <w:gridSpan w:val="2"/>
            <w:tcBorders>
              <w:top w:val="single" w:color="auto" w:sz="4" w:space="0"/>
              <w:left w:val="nil"/>
              <w:bottom w:val="single" w:color="auto" w:sz="4" w:space="0"/>
              <w:right w:val="single" w:color="000000" w:sz="4" w:space="0"/>
            </w:tcBorders>
            <w:shd w:val="clear" w:color="auto" w:fill="auto"/>
            <w:vAlign w:val="center"/>
          </w:tcPr>
          <w:p w14:paraId="56B89F29">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464" w:type="pct"/>
            <w:gridSpan w:val="2"/>
            <w:tcBorders>
              <w:top w:val="single" w:color="auto" w:sz="4" w:space="0"/>
              <w:left w:val="nil"/>
              <w:bottom w:val="single" w:color="auto" w:sz="4" w:space="0"/>
              <w:right w:val="single" w:color="000000" w:sz="4" w:space="0"/>
            </w:tcBorders>
            <w:shd w:val="clear" w:color="auto" w:fill="auto"/>
            <w:vAlign w:val="center"/>
          </w:tcPr>
          <w:p w14:paraId="03BEC7A8">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704" w:type="pct"/>
            <w:gridSpan w:val="2"/>
            <w:tcBorders>
              <w:top w:val="single" w:color="auto" w:sz="4" w:space="0"/>
              <w:left w:val="nil"/>
              <w:bottom w:val="single" w:color="auto" w:sz="4" w:space="0"/>
              <w:right w:val="single" w:color="auto" w:sz="4" w:space="0"/>
            </w:tcBorders>
            <w:shd w:val="clear" w:color="auto" w:fill="auto"/>
            <w:vAlign w:val="center"/>
          </w:tcPr>
          <w:p w14:paraId="48FE30C0">
            <w:pPr>
              <w:widowControl/>
              <w:jc w:val="center"/>
              <w:rPr>
                <w:rFonts w:hint="eastAsia" w:ascii="宋体" w:hAnsi="宋体" w:cs="宋体"/>
                <w:kern w:val="0"/>
                <w:sz w:val="20"/>
                <w:szCs w:val="20"/>
              </w:rPr>
            </w:pPr>
            <w:r>
              <w:rPr>
                <w:rFonts w:hint="eastAsia" w:ascii="宋体" w:hAnsi="宋体" w:cs="宋体"/>
                <w:kern w:val="0"/>
                <w:sz w:val="20"/>
                <w:szCs w:val="20"/>
              </w:rPr>
              <w:t>　</w:t>
            </w:r>
          </w:p>
        </w:tc>
        <w:tc>
          <w:tcPr>
            <w:tcW w:w="130" w:type="pct"/>
            <w:vAlign w:val="center"/>
          </w:tcPr>
          <w:p w14:paraId="5AA122D8">
            <w:pPr>
              <w:widowControl/>
              <w:jc w:val="left"/>
              <w:rPr>
                <w:rFonts w:eastAsia="Times New Roman"/>
                <w:kern w:val="0"/>
                <w:sz w:val="20"/>
                <w:szCs w:val="20"/>
              </w:rPr>
            </w:pPr>
          </w:p>
        </w:tc>
      </w:tr>
      <w:tr w14:paraId="41504ECD">
        <w:tblPrEx>
          <w:tblCellMar>
            <w:top w:w="0" w:type="dxa"/>
            <w:left w:w="108" w:type="dxa"/>
            <w:bottom w:w="0" w:type="dxa"/>
            <w:right w:w="108" w:type="dxa"/>
          </w:tblCellMar>
        </w:tblPrEx>
        <w:trPr>
          <w:trHeight w:val="402" w:hRule="atLeast"/>
        </w:trPr>
        <w:tc>
          <w:tcPr>
            <w:tcW w:w="282" w:type="pct"/>
            <w:vMerge w:val="continue"/>
            <w:tcBorders>
              <w:top w:val="nil"/>
              <w:left w:val="single" w:color="auto" w:sz="4" w:space="0"/>
              <w:bottom w:val="single" w:color="auto" w:sz="4" w:space="0"/>
              <w:right w:val="single" w:color="auto" w:sz="4" w:space="0"/>
            </w:tcBorders>
            <w:vAlign w:val="center"/>
          </w:tcPr>
          <w:p w14:paraId="30259356">
            <w:pPr>
              <w:widowControl/>
              <w:jc w:val="left"/>
              <w:rPr>
                <w:rFonts w:hint="eastAsia" w:ascii="宋体" w:hAnsi="宋体" w:cs="宋体"/>
                <w:kern w:val="0"/>
                <w:sz w:val="20"/>
                <w:szCs w:val="20"/>
              </w:rPr>
            </w:pPr>
          </w:p>
        </w:tc>
        <w:tc>
          <w:tcPr>
            <w:tcW w:w="282" w:type="pct"/>
            <w:vMerge w:val="continue"/>
            <w:tcBorders>
              <w:top w:val="nil"/>
              <w:left w:val="single" w:color="auto" w:sz="4" w:space="0"/>
              <w:bottom w:val="single" w:color="auto" w:sz="4" w:space="0"/>
              <w:right w:val="single" w:color="auto" w:sz="4" w:space="0"/>
            </w:tcBorders>
            <w:vAlign w:val="center"/>
          </w:tcPr>
          <w:p w14:paraId="2C9205D0">
            <w:pPr>
              <w:widowControl/>
              <w:jc w:val="left"/>
              <w:rPr>
                <w:rFonts w:hint="eastAsia" w:ascii="宋体" w:hAnsi="宋体" w:cs="宋体"/>
                <w:kern w:val="0"/>
                <w:sz w:val="20"/>
                <w:szCs w:val="20"/>
              </w:rPr>
            </w:pPr>
          </w:p>
        </w:tc>
        <w:tc>
          <w:tcPr>
            <w:tcW w:w="492" w:type="pct"/>
            <w:tcBorders>
              <w:top w:val="nil"/>
              <w:left w:val="nil"/>
              <w:bottom w:val="single" w:color="auto" w:sz="4" w:space="0"/>
              <w:right w:val="single" w:color="auto" w:sz="4" w:space="0"/>
            </w:tcBorders>
            <w:shd w:val="clear" w:color="auto" w:fill="auto"/>
            <w:vAlign w:val="center"/>
          </w:tcPr>
          <w:p w14:paraId="78F5BF8C">
            <w:pPr>
              <w:widowControl/>
              <w:jc w:val="center"/>
              <w:rPr>
                <w:rFonts w:hint="eastAsia" w:ascii="宋体" w:hAnsi="宋体" w:cs="宋体"/>
                <w:kern w:val="0"/>
                <w:sz w:val="20"/>
                <w:szCs w:val="20"/>
              </w:rPr>
            </w:pPr>
            <w:r>
              <w:rPr>
                <w:rFonts w:hint="eastAsia" w:ascii="宋体" w:hAnsi="宋体" w:cs="宋体"/>
                <w:kern w:val="0"/>
                <w:sz w:val="20"/>
                <w:szCs w:val="20"/>
              </w:rPr>
              <w:t>社会成本指标</w:t>
            </w:r>
          </w:p>
        </w:tc>
        <w:tc>
          <w:tcPr>
            <w:tcW w:w="1418" w:type="pct"/>
            <w:gridSpan w:val="3"/>
            <w:tcBorders>
              <w:top w:val="single" w:color="auto" w:sz="4" w:space="0"/>
              <w:left w:val="nil"/>
              <w:bottom w:val="single" w:color="auto" w:sz="4" w:space="0"/>
              <w:right w:val="single" w:color="000000" w:sz="4" w:space="0"/>
            </w:tcBorders>
            <w:shd w:val="clear" w:color="auto" w:fill="auto"/>
            <w:noWrap/>
            <w:vAlign w:val="center"/>
          </w:tcPr>
          <w:p w14:paraId="06C2468A">
            <w:pPr>
              <w:widowControl/>
              <w:jc w:val="left"/>
              <w:rPr>
                <w:rFonts w:hint="eastAsia" w:ascii="宋体" w:hAnsi="宋体" w:cs="宋体"/>
                <w:kern w:val="0"/>
                <w:sz w:val="20"/>
                <w:szCs w:val="20"/>
              </w:rPr>
            </w:pPr>
            <w:r>
              <w:rPr>
                <w:rFonts w:hint="eastAsia" w:ascii="宋体" w:hAnsi="宋体" w:cs="宋体"/>
                <w:kern w:val="0"/>
                <w:sz w:val="20"/>
                <w:szCs w:val="20"/>
              </w:rPr>
              <w:t>优抚对象投诉率</w:t>
            </w:r>
          </w:p>
        </w:tc>
        <w:tc>
          <w:tcPr>
            <w:tcW w:w="479" w:type="pct"/>
            <w:tcBorders>
              <w:top w:val="nil"/>
              <w:left w:val="nil"/>
              <w:bottom w:val="single" w:color="auto" w:sz="4" w:space="0"/>
              <w:right w:val="single" w:color="auto" w:sz="4" w:space="0"/>
            </w:tcBorders>
            <w:shd w:val="clear" w:color="auto" w:fill="auto"/>
            <w:vAlign w:val="center"/>
          </w:tcPr>
          <w:p w14:paraId="6618C62A">
            <w:pPr>
              <w:widowControl/>
              <w:jc w:val="center"/>
              <w:rPr>
                <w:rFonts w:hint="eastAsia" w:ascii="宋体" w:hAnsi="宋体" w:cs="宋体"/>
                <w:kern w:val="0"/>
                <w:sz w:val="20"/>
                <w:szCs w:val="20"/>
              </w:rPr>
            </w:pPr>
            <w:r>
              <w:rPr>
                <w:rFonts w:hint="eastAsia" w:ascii="宋体" w:hAnsi="宋体" w:cs="宋体"/>
                <w:kern w:val="0"/>
                <w:sz w:val="20"/>
                <w:szCs w:val="20"/>
              </w:rPr>
              <w:t>=0%</w:t>
            </w:r>
          </w:p>
        </w:tc>
        <w:tc>
          <w:tcPr>
            <w:tcW w:w="421" w:type="pct"/>
            <w:tcBorders>
              <w:top w:val="nil"/>
              <w:left w:val="nil"/>
              <w:bottom w:val="single" w:color="auto" w:sz="4" w:space="0"/>
              <w:right w:val="single" w:color="auto" w:sz="4" w:space="0"/>
            </w:tcBorders>
            <w:shd w:val="clear" w:color="auto" w:fill="auto"/>
            <w:vAlign w:val="center"/>
          </w:tcPr>
          <w:p w14:paraId="5F7735A3">
            <w:pPr>
              <w:widowControl/>
              <w:jc w:val="center"/>
              <w:rPr>
                <w:rFonts w:hint="eastAsia" w:ascii="宋体" w:hAnsi="宋体" w:cs="宋体"/>
                <w:kern w:val="0"/>
                <w:sz w:val="20"/>
                <w:szCs w:val="20"/>
              </w:rPr>
            </w:pPr>
            <w:r>
              <w:rPr>
                <w:rFonts w:hint="eastAsia" w:ascii="宋体" w:hAnsi="宋体" w:cs="宋体"/>
                <w:kern w:val="0"/>
                <w:sz w:val="20"/>
                <w:szCs w:val="20"/>
              </w:rPr>
              <w:t>=0%</w:t>
            </w:r>
          </w:p>
        </w:tc>
        <w:tc>
          <w:tcPr>
            <w:tcW w:w="329" w:type="pct"/>
            <w:gridSpan w:val="2"/>
            <w:tcBorders>
              <w:top w:val="single" w:color="auto" w:sz="4" w:space="0"/>
              <w:left w:val="nil"/>
              <w:bottom w:val="single" w:color="auto" w:sz="4" w:space="0"/>
              <w:right w:val="single" w:color="000000" w:sz="4" w:space="0"/>
            </w:tcBorders>
            <w:shd w:val="clear" w:color="auto" w:fill="auto"/>
            <w:vAlign w:val="center"/>
          </w:tcPr>
          <w:p w14:paraId="7B519C22">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464" w:type="pct"/>
            <w:gridSpan w:val="2"/>
            <w:tcBorders>
              <w:top w:val="single" w:color="auto" w:sz="4" w:space="0"/>
              <w:left w:val="nil"/>
              <w:bottom w:val="single" w:color="auto" w:sz="4" w:space="0"/>
              <w:right w:val="single" w:color="000000" w:sz="4" w:space="0"/>
            </w:tcBorders>
            <w:shd w:val="clear" w:color="auto" w:fill="auto"/>
            <w:vAlign w:val="center"/>
          </w:tcPr>
          <w:p w14:paraId="04DFB01A">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704" w:type="pct"/>
            <w:gridSpan w:val="2"/>
            <w:tcBorders>
              <w:top w:val="single" w:color="auto" w:sz="4" w:space="0"/>
              <w:left w:val="nil"/>
              <w:bottom w:val="single" w:color="auto" w:sz="4" w:space="0"/>
              <w:right w:val="single" w:color="auto" w:sz="4" w:space="0"/>
            </w:tcBorders>
            <w:shd w:val="clear" w:color="auto" w:fill="auto"/>
            <w:vAlign w:val="center"/>
          </w:tcPr>
          <w:p w14:paraId="147390B7">
            <w:pPr>
              <w:widowControl/>
              <w:jc w:val="center"/>
              <w:rPr>
                <w:rFonts w:hint="eastAsia" w:ascii="宋体" w:hAnsi="宋体" w:cs="宋体"/>
                <w:kern w:val="0"/>
                <w:sz w:val="20"/>
                <w:szCs w:val="20"/>
              </w:rPr>
            </w:pPr>
            <w:r>
              <w:rPr>
                <w:rFonts w:hint="eastAsia" w:ascii="宋体" w:hAnsi="宋体" w:cs="宋体"/>
                <w:kern w:val="0"/>
                <w:sz w:val="20"/>
                <w:szCs w:val="20"/>
              </w:rPr>
              <w:t>　</w:t>
            </w:r>
          </w:p>
        </w:tc>
        <w:tc>
          <w:tcPr>
            <w:tcW w:w="130" w:type="pct"/>
            <w:vAlign w:val="center"/>
          </w:tcPr>
          <w:p w14:paraId="308389F5">
            <w:pPr>
              <w:widowControl/>
              <w:jc w:val="left"/>
              <w:rPr>
                <w:rFonts w:eastAsia="Times New Roman"/>
                <w:kern w:val="0"/>
                <w:sz w:val="20"/>
                <w:szCs w:val="20"/>
              </w:rPr>
            </w:pPr>
          </w:p>
        </w:tc>
      </w:tr>
      <w:tr w14:paraId="6B1B12E5">
        <w:tblPrEx>
          <w:tblCellMar>
            <w:top w:w="0" w:type="dxa"/>
            <w:left w:w="108" w:type="dxa"/>
            <w:bottom w:w="0" w:type="dxa"/>
            <w:right w:w="108" w:type="dxa"/>
          </w:tblCellMar>
        </w:tblPrEx>
        <w:trPr>
          <w:trHeight w:val="402" w:hRule="atLeast"/>
        </w:trPr>
        <w:tc>
          <w:tcPr>
            <w:tcW w:w="282" w:type="pct"/>
            <w:vMerge w:val="continue"/>
            <w:tcBorders>
              <w:top w:val="nil"/>
              <w:left w:val="single" w:color="auto" w:sz="4" w:space="0"/>
              <w:bottom w:val="single" w:color="auto" w:sz="4" w:space="0"/>
              <w:right w:val="single" w:color="auto" w:sz="4" w:space="0"/>
            </w:tcBorders>
            <w:vAlign w:val="center"/>
          </w:tcPr>
          <w:p w14:paraId="40EBDD4C">
            <w:pPr>
              <w:widowControl/>
              <w:jc w:val="left"/>
              <w:rPr>
                <w:rFonts w:hint="eastAsia" w:ascii="宋体" w:hAnsi="宋体" w:cs="宋体"/>
                <w:kern w:val="0"/>
                <w:sz w:val="20"/>
                <w:szCs w:val="20"/>
              </w:rPr>
            </w:pPr>
          </w:p>
        </w:tc>
        <w:tc>
          <w:tcPr>
            <w:tcW w:w="282" w:type="pct"/>
            <w:vMerge w:val="continue"/>
            <w:tcBorders>
              <w:top w:val="nil"/>
              <w:left w:val="single" w:color="auto" w:sz="4" w:space="0"/>
              <w:bottom w:val="single" w:color="auto" w:sz="4" w:space="0"/>
              <w:right w:val="single" w:color="auto" w:sz="4" w:space="0"/>
            </w:tcBorders>
            <w:vAlign w:val="center"/>
          </w:tcPr>
          <w:p w14:paraId="339589BF">
            <w:pPr>
              <w:widowControl/>
              <w:jc w:val="left"/>
              <w:rPr>
                <w:rFonts w:hint="eastAsia" w:ascii="宋体" w:hAnsi="宋体" w:cs="宋体"/>
                <w:kern w:val="0"/>
                <w:sz w:val="20"/>
                <w:szCs w:val="20"/>
              </w:rPr>
            </w:pPr>
          </w:p>
        </w:tc>
        <w:tc>
          <w:tcPr>
            <w:tcW w:w="492" w:type="pct"/>
            <w:tcBorders>
              <w:top w:val="nil"/>
              <w:left w:val="nil"/>
              <w:bottom w:val="single" w:color="auto" w:sz="4" w:space="0"/>
              <w:right w:val="single" w:color="auto" w:sz="4" w:space="0"/>
            </w:tcBorders>
            <w:shd w:val="clear" w:color="auto" w:fill="auto"/>
            <w:vAlign w:val="center"/>
          </w:tcPr>
          <w:p w14:paraId="0AD235C3">
            <w:pPr>
              <w:widowControl/>
              <w:jc w:val="center"/>
              <w:rPr>
                <w:rFonts w:hint="eastAsia" w:ascii="宋体" w:hAnsi="宋体" w:cs="宋体"/>
                <w:kern w:val="0"/>
                <w:sz w:val="20"/>
                <w:szCs w:val="20"/>
              </w:rPr>
            </w:pPr>
            <w:r>
              <w:rPr>
                <w:rFonts w:hint="eastAsia" w:ascii="宋体" w:hAnsi="宋体" w:cs="宋体"/>
                <w:kern w:val="0"/>
                <w:sz w:val="20"/>
                <w:szCs w:val="20"/>
              </w:rPr>
              <w:t>生态环境成本指标</w:t>
            </w:r>
          </w:p>
        </w:tc>
        <w:tc>
          <w:tcPr>
            <w:tcW w:w="1418" w:type="pct"/>
            <w:gridSpan w:val="3"/>
            <w:tcBorders>
              <w:top w:val="single" w:color="auto" w:sz="4" w:space="0"/>
              <w:left w:val="nil"/>
              <w:bottom w:val="single" w:color="auto" w:sz="4" w:space="0"/>
              <w:right w:val="single" w:color="000000" w:sz="4" w:space="0"/>
            </w:tcBorders>
            <w:shd w:val="clear" w:color="auto" w:fill="auto"/>
            <w:noWrap/>
            <w:vAlign w:val="center"/>
          </w:tcPr>
          <w:p w14:paraId="3D65375B">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479" w:type="pct"/>
            <w:tcBorders>
              <w:top w:val="nil"/>
              <w:left w:val="nil"/>
              <w:bottom w:val="single" w:color="auto" w:sz="4" w:space="0"/>
              <w:right w:val="single" w:color="auto" w:sz="4" w:space="0"/>
            </w:tcBorders>
            <w:shd w:val="clear" w:color="auto" w:fill="auto"/>
            <w:vAlign w:val="center"/>
          </w:tcPr>
          <w:p w14:paraId="6F097CC4">
            <w:pPr>
              <w:widowControl/>
              <w:jc w:val="center"/>
              <w:rPr>
                <w:rFonts w:hint="eastAsia" w:ascii="宋体" w:hAnsi="宋体" w:cs="宋体"/>
                <w:kern w:val="0"/>
                <w:sz w:val="20"/>
                <w:szCs w:val="20"/>
              </w:rPr>
            </w:pPr>
            <w:r>
              <w:rPr>
                <w:rFonts w:hint="eastAsia" w:ascii="宋体" w:hAnsi="宋体" w:cs="宋体"/>
                <w:kern w:val="0"/>
                <w:sz w:val="20"/>
                <w:szCs w:val="20"/>
              </w:rPr>
              <w:t>　</w:t>
            </w:r>
          </w:p>
        </w:tc>
        <w:tc>
          <w:tcPr>
            <w:tcW w:w="421" w:type="pct"/>
            <w:tcBorders>
              <w:top w:val="nil"/>
              <w:left w:val="nil"/>
              <w:bottom w:val="single" w:color="auto" w:sz="4" w:space="0"/>
              <w:right w:val="single" w:color="auto" w:sz="4" w:space="0"/>
            </w:tcBorders>
            <w:shd w:val="clear" w:color="auto" w:fill="auto"/>
            <w:vAlign w:val="center"/>
          </w:tcPr>
          <w:p w14:paraId="5A045BD2">
            <w:pPr>
              <w:widowControl/>
              <w:jc w:val="center"/>
              <w:rPr>
                <w:rFonts w:hint="eastAsia" w:ascii="宋体" w:hAnsi="宋体" w:cs="宋体"/>
                <w:kern w:val="0"/>
                <w:sz w:val="20"/>
                <w:szCs w:val="20"/>
              </w:rPr>
            </w:pPr>
            <w:r>
              <w:rPr>
                <w:rFonts w:hint="eastAsia" w:ascii="宋体" w:hAnsi="宋体" w:cs="宋体"/>
                <w:kern w:val="0"/>
                <w:sz w:val="20"/>
                <w:szCs w:val="20"/>
              </w:rPr>
              <w:t>　</w:t>
            </w:r>
          </w:p>
        </w:tc>
        <w:tc>
          <w:tcPr>
            <w:tcW w:w="329" w:type="pct"/>
            <w:gridSpan w:val="2"/>
            <w:tcBorders>
              <w:top w:val="single" w:color="auto" w:sz="4" w:space="0"/>
              <w:left w:val="nil"/>
              <w:bottom w:val="single" w:color="auto" w:sz="4" w:space="0"/>
              <w:right w:val="single" w:color="000000" w:sz="4" w:space="0"/>
            </w:tcBorders>
            <w:shd w:val="clear" w:color="auto" w:fill="auto"/>
            <w:vAlign w:val="center"/>
          </w:tcPr>
          <w:p w14:paraId="7443616D">
            <w:pPr>
              <w:widowControl/>
              <w:jc w:val="center"/>
              <w:rPr>
                <w:rFonts w:hint="eastAsia" w:ascii="宋体" w:hAnsi="宋体" w:cs="宋体"/>
                <w:kern w:val="0"/>
                <w:sz w:val="20"/>
                <w:szCs w:val="20"/>
              </w:rPr>
            </w:pPr>
            <w:r>
              <w:rPr>
                <w:rFonts w:hint="eastAsia" w:ascii="宋体" w:hAnsi="宋体" w:cs="宋体"/>
                <w:kern w:val="0"/>
                <w:sz w:val="20"/>
                <w:szCs w:val="20"/>
              </w:rPr>
              <w:t>　</w:t>
            </w:r>
          </w:p>
        </w:tc>
        <w:tc>
          <w:tcPr>
            <w:tcW w:w="464" w:type="pct"/>
            <w:gridSpan w:val="2"/>
            <w:tcBorders>
              <w:top w:val="single" w:color="auto" w:sz="4" w:space="0"/>
              <w:left w:val="nil"/>
              <w:bottom w:val="single" w:color="auto" w:sz="4" w:space="0"/>
              <w:right w:val="single" w:color="000000" w:sz="4" w:space="0"/>
            </w:tcBorders>
            <w:shd w:val="clear" w:color="auto" w:fill="auto"/>
            <w:vAlign w:val="center"/>
          </w:tcPr>
          <w:p w14:paraId="57FD8024">
            <w:pPr>
              <w:widowControl/>
              <w:jc w:val="center"/>
              <w:rPr>
                <w:rFonts w:hint="eastAsia" w:ascii="宋体" w:hAnsi="宋体" w:cs="宋体"/>
                <w:kern w:val="0"/>
                <w:sz w:val="20"/>
                <w:szCs w:val="20"/>
              </w:rPr>
            </w:pPr>
            <w:r>
              <w:rPr>
                <w:rFonts w:hint="eastAsia" w:ascii="宋体" w:hAnsi="宋体" w:cs="宋体"/>
                <w:kern w:val="0"/>
                <w:sz w:val="20"/>
                <w:szCs w:val="20"/>
              </w:rPr>
              <w:t>　</w:t>
            </w:r>
          </w:p>
        </w:tc>
        <w:tc>
          <w:tcPr>
            <w:tcW w:w="704" w:type="pct"/>
            <w:gridSpan w:val="2"/>
            <w:tcBorders>
              <w:top w:val="single" w:color="auto" w:sz="4" w:space="0"/>
              <w:left w:val="nil"/>
              <w:bottom w:val="single" w:color="auto" w:sz="4" w:space="0"/>
              <w:right w:val="single" w:color="auto" w:sz="4" w:space="0"/>
            </w:tcBorders>
            <w:shd w:val="clear" w:color="auto" w:fill="auto"/>
            <w:vAlign w:val="center"/>
          </w:tcPr>
          <w:p w14:paraId="3329D47F">
            <w:pPr>
              <w:widowControl/>
              <w:jc w:val="center"/>
              <w:rPr>
                <w:rFonts w:hint="eastAsia" w:ascii="宋体" w:hAnsi="宋体" w:cs="宋体"/>
                <w:kern w:val="0"/>
                <w:sz w:val="20"/>
                <w:szCs w:val="20"/>
              </w:rPr>
            </w:pPr>
            <w:r>
              <w:rPr>
                <w:rFonts w:hint="eastAsia" w:ascii="宋体" w:hAnsi="宋体" w:cs="宋体"/>
                <w:kern w:val="0"/>
                <w:sz w:val="20"/>
                <w:szCs w:val="20"/>
              </w:rPr>
              <w:t>　</w:t>
            </w:r>
          </w:p>
        </w:tc>
        <w:tc>
          <w:tcPr>
            <w:tcW w:w="130" w:type="pct"/>
            <w:vAlign w:val="center"/>
          </w:tcPr>
          <w:p w14:paraId="66C9E9CC">
            <w:pPr>
              <w:widowControl/>
              <w:jc w:val="left"/>
              <w:rPr>
                <w:rFonts w:eastAsia="Times New Roman"/>
                <w:kern w:val="0"/>
                <w:sz w:val="20"/>
                <w:szCs w:val="20"/>
              </w:rPr>
            </w:pPr>
          </w:p>
        </w:tc>
      </w:tr>
      <w:tr w14:paraId="6136482D">
        <w:tblPrEx>
          <w:tblCellMar>
            <w:top w:w="0" w:type="dxa"/>
            <w:left w:w="108" w:type="dxa"/>
            <w:bottom w:w="0" w:type="dxa"/>
            <w:right w:w="108" w:type="dxa"/>
          </w:tblCellMar>
        </w:tblPrEx>
        <w:trPr>
          <w:trHeight w:val="402" w:hRule="atLeast"/>
        </w:trPr>
        <w:tc>
          <w:tcPr>
            <w:tcW w:w="282" w:type="pct"/>
            <w:vMerge w:val="continue"/>
            <w:tcBorders>
              <w:top w:val="nil"/>
              <w:left w:val="single" w:color="auto" w:sz="4" w:space="0"/>
              <w:bottom w:val="single" w:color="auto" w:sz="4" w:space="0"/>
              <w:right w:val="single" w:color="auto" w:sz="4" w:space="0"/>
            </w:tcBorders>
            <w:vAlign w:val="center"/>
          </w:tcPr>
          <w:p w14:paraId="08B0C897">
            <w:pPr>
              <w:widowControl/>
              <w:jc w:val="left"/>
              <w:rPr>
                <w:rFonts w:hint="eastAsia" w:ascii="宋体" w:hAnsi="宋体" w:cs="宋体"/>
                <w:kern w:val="0"/>
                <w:sz w:val="20"/>
                <w:szCs w:val="20"/>
              </w:rPr>
            </w:pPr>
          </w:p>
        </w:tc>
        <w:tc>
          <w:tcPr>
            <w:tcW w:w="282" w:type="pct"/>
            <w:vMerge w:val="restart"/>
            <w:tcBorders>
              <w:top w:val="nil"/>
              <w:left w:val="single" w:color="auto" w:sz="4" w:space="0"/>
              <w:bottom w:val="single" w:color="auto" w:sz="4" w:space="0"/>
              <w:right w:val="single" w:color="auto" w:sz="4" w:space="0"/>
            </w:tcBorders>
            <w:shd w:val="clear" w:color="auto" w:fill="auto"/>
            <w:vAlign w:val="center"/>
          </w:tcPr>
          <w:p w14:paraId="010C03D4">
            <w:pPr>
              <w:widowControl/>
              <w:jc w:val="center"/>
              <w:rPr>
                <w:rFonts w:hint="eastAsia" w:ascii="宋体" w:hAnsi="宋体" w:cs="宋体"/>
                <w:kern w:val="0"/>
                <w:sz w:val="20"/>
                <w:szCs w:val="20"/>
              </w:rPr>
            </w:pPr>
            <w:r>
              <w:rPr>
                <w:rFonts w:hint="eastAsia" w:ascii="宋体" w:hAnsi="宋体" w:cs="宋体"/>
                <w:kern w:val="0"/>
                <w:sz w:val="20"/>
                <w:szCs w:val="20"/>
              </w:rPr>
              <w:t>效益指标</w:t>
            </w:r>
          </w:p>
        </w:tc>
        <w:tc>
          <w:tcPr>
            <w:tcW w:w="492" w:type="pct"/>
            <w:tcBorders>
              <w:top w:val="nil"/>
              <w:left w:val="nil"/>
              <w:bottom w:val="single" w:color="auto" w:sz="4" w:space="0"/>
              <w:right w:val="single" w:color="auto" w:sz="4" w:space="0"/>
            </w:tcBorders>
            <w:shd w:val="clear" w:color="auto" w:fill="auto"/>
            <w:vAlign w:val="center"/>
          </w:tcPr>
          <w:p w14:paraId="44FB8D9E">
            <w:pPr>
              <w:widowControl/>
              <w:jc w:val="center"/>
              <w:rPr>
                <w:rFonts w:hint="eastAsia" w:ascii="宋体" w:hAnsi="宋体" w:cs="宋体"/>
                <w:kern w:val="0"/>
                <w:sz w:val="20"/>
                <w:szCs w:val="20"/>
              </w:rPr>
            </w:pPr>
            <w:r>
              <w:rPr>
                <w:rFonts w:hint="eastAsia" w:ascii="宋体" w:hAnsi="宋体" w:cs="宋体"/>
                <w:kern w:val="0"/>
                <w:sz w:val="20"/>
                <w:szCs w:val="20"/>
              </w:rPr>
              <w:t>经济效益指标</w:t>
            </w:r>
          </w:p>
        </w:tc>
        <w:tc>
          <w:tcPr>
            <w:tcW w:w="1418" w:type="pct"/>
            <w:gridSpan w:val="3"/>
            <w:tcBorders>
              <w:top w:val="single" w:color="auto" w:sz="4" w:space="0"/>
              <w:left w:val="nil"/>
              <w:bottom w:val="single" w:color="auto" w:sz="4" w:space="0"/>
              <w:right w:val="single" w:color="000000" w:sz="4" w:space="0"/>
            </w:tcBorders>
            <w:shd w:val="clear" w:color="auto" w:fill="auto"/>
            <w:noWrap/>
            <w:vAlign w:val="center"/>
          </w:tcPr>
          <w:p w14:paraId="0174C9AF">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479" w:type="pct"/>
            <w:tcBorders>
              <w:top w:val="nil"/>
              <w:left w:val="nil"/>
              <w:bottom w:val="single" w:color="auto" w:sz="4" w:space="0"/>
              <w:right w:val="single" w:color="auto" w:sz="4" w:space="0"/>
            </w:tcBorders>
            <w:shd w:val="clear" w:color="auto" w:fill="auto"/>
            <w:vAlign w:val="center"/>
          </w:tcPr>
          <w:p w14:paraId="7869F0FF">
            <w:pPr>
              <w:widowControl/>
              <w:jc w:val="center"/>
              <w:rPr>
                <w:rFonts w:hint="eastAsia" w:ascii="宋体" w:hAnsi="宋体" w:cs="宋体"/>
                <w:kern w:val="0"/>
                <w:sz w:val="20"/>
                <w:szCs w:val="20"/>
              </w:rPr>
            </w:pPr>
            <w:r>
              <w:rPr>
                <w:rFonts w:hint="eastAsia" w:ascii="宋体" w:hAnsi="宋体" w:cs="宋体"/>
                <w:kern w:val="0"/>
                <w:sz w:val="20"/>
                <w:szCs w:val="20"/>
              </w:rPr>
              <w:t>　</w:t>
            </w:r>
          </w:p>
        </w:tc>
        <w:tc>
          <w:tcPr>
            <w:tcW w:w="421" w:type="pct"/>
            <w:tcBorders>
              <w:top w:val="nil"/>
              <w:left w:val="nil"/>
              <w:bottom w:val="single" w:color="auto" w:sz="4" w:space="0"/>
              <w:right w:val="single" w:color="auto" w:sz="4" w:space="0"/>
            </w:tcBorders>
            <w:shd w:val="clear" w:color="auto" w:fill="auto"/>
            <w:vAlign w:val="center"/>
          </w:tcPr>
          <w:p w14:paraId="134F7036">
            <w:pPr>
              <w:widowControl/>
              <w:jc w:val="center"/>
              <w:rPr>
                <w:rFonts w:hint="eastAsia" w:ascii="宋体" w:hAnsi="宋体" w:cs="宋体"/>
                <w:kern w:val="0"/>
                <w:sz w:val="20"/>
                <w:szCs w:val="20"/>
              </w:rPr>
            </w:pPr>
            <w:r>
              <w:rPr>
                <w:rFonts w:hint="eastAsia" w:ascii="宋体" w:hAnsi="宋体" w:cs="宋体"/>
                <w:kern w:val="0"/>
                <w:sz w:val="20"/>
                <w:szCs w:val="20"/>
              </w:rPr>
              <w:t>　</w:t>
            </w:r>
          </w:p>
        </w:tc>
        <w:tc>
          <w:tcPr>
            <w:tcW w:w="329" w:type="pct"/>
            <w:gridSpan w:val="2"/>
            <w:tcBorders>
              <w:top w:val="single" w:color="auto" w:sz="4" w:space="0"/>
              <w:left w:val="nil"/>
              <w:bottom w:val="single" w:color="auto" w:sz="4" w:space="0"/>
              <w:right w:val="single" w:color="000000" w:sz="4" w:space="0"/>
            </w:tcBorders>
            <w:shd w:val="clear" w:color="auto" w:fill="auto"/>
            <w:vAlign w:val="center"/>
          </w:tcPr>
          <w:p w14:paraId="69907326">
            <w:pPr>
              <w:widowControl/>
              <w:jc w:val="center"/>
              <w:rPr>
                <w:rFonts w:hint="eastAsia" w:ascii="宋体" w:hAnsi="宋体" w:cs="宋体"/>
                <w:kern w:val="0"/>
                <w:sz w:val="20"/>
                <w:szCs w:val="20"/>
              </w:rPr>
            </w:pPr>
            <w:r>
              <w:rPr>
                <w:rFonts w:hint="eastAsia" w:ascii="宋体" w:hAnsi="宋体" w:cs="宋体"/>
                <w:kern w:val="0"/>
                <w:sz w:val="20"/>
                <w:szCs w:val="20"/>
              </w:rPr>
              <w:t>　</w:t>
            </w:r>
          </w:p>
        </w:tc>
        <w:tc>
          <w:tcPr>
            <w:tcW w:w="464" w:type="pct"/>
            <w:gridSpan w:val="2"/>
            <w:tcBorders>
              <w:top w:val="single" w:color="auto" w:sz="4" w:space="0"/>
              <w:left w:val="nil"/>
              <w:bottom w:val="single" w:color="auto" w:sz="4" w:space="0"/>
              <w:right w:val="single" w:color="000000" w:sz="4" w:space="0"/>
            </w:tcBorders>
            <w:shd w:val="clear" w:color="auto" w:fill="auto"/>
            <w:vAlign w:val="center"/>
          </w:tcPr>
          <w:p w14:paraId="659E6719">
            <w:pPr>
              <w:widowControl/>
              <w:jc w:val="center"/>
              <w:rPr>
                <w:rFonts w:hint="eastAsia" w:ascii="宋体" w:hAnsi="宋体" w:cs="宋体"/>
                <w:kern w:val="0"/>
                <w:sz w:val="20"/>
                <w:szCs w:val="20"/>
              </w:rPr>
            </w:pPr>
            <w:r>
              <w:rPr>
                <w:rFonts w:hint="eastAsia" w:ascii="宋体" w:hAnsi="宋体" w:cs="宋体"/>
                <w:kern w:val="0"/>
                <w:sz w:val="20"/>
                <w:szCs w:val="20"/>
              </w:rPr>
              <w:t>　</w:t>
            </w:r>
          </w:p>
        </w:tc>
        <w:tc>
          <w:tcPr>
            <w:tcW w:w="704" w:type="pct"/>
            <w:gridSpan w:val="2"/>
            <w:tcBorders>
              <w:top w:val="single" w:color="auto" w:sz="4" w:space="0"/>
              <w:left w:val="nil"/>
              <w:bottom w:val="single" w:color="auto" w:sz="4" w:space="0"/>
              <w:right w:val="single" w:color="auto" w:sz="4" w:space="0"/>
            </w:tcBorders>
            <w:shd w:val="clear" w:color="auto" w:fill="auto"/>
            <w:vAlign w:val="center"/>
          </w:tcPr>
          <w:p w14:paraId="08E61250">
            <w:pPr>
              <w:widowControl/>
              <w:jc w:val="center"/>
              <w:rPr>
                <w:rFonts w:hint="eastAsia" w:ascii="宋体" w:hAnsi="宋体" w:cs="宋体"/>
                <w:kern w:val="0"/>
                <w:sz w:val="20"/>
                <w:szCs w:val="20"/>
              </w:rPr>
            </w:pPr>
            <w:r>
              <w:rPr>
                <w:rFonts w:hint="eastAsia" w:ascii="宋体" w:hAnsi="宋体" w:cs="宋体"/>
                <w:kern w:val="0"/>
                <w:sz w:val="20"/>
                <w:szCs w:val="20"/>
              </w:rPr>
              <w:t>　</w:t>
            </w:r>
          </w:p>
        </w:tc>
        <w:tc>
          <w:tcPr>
            <w:tcW w:w="130" w:type="pct"/>
            <w:vAlign w:val="center"/>
          </w:tcPr>
          <w:p w14:paraId="7D592D92">
            <w:pPr>
              <w:widowControl/>
              <w:jc w:val="left"/>
              <w:rPr>
                <w:rFonts w:eastAsia="Times New Roman"/>
                <w:kern w:val="0"/>
                <w:sz w:val="20"/>
                <w:szCs w:val="20"/>
              </w:rPr>
            </w:pPr>
          </w:p>
        </w:tc>
      </w:tr>
      <w:tr w14:paraId="4D5A9341">
        <w:tblPrEx>
          <w:tblCellMar>
            <w:top w:w="0" w:type="dxa"/>
            <w:left w:w="108" w:type="dxa"/>
            <w:bottom w:w="0" w:type="dxa"/>
            <w:right w:w="108" w:type="dxa"/>
          </w:tblCellMar>
        </w:tblPrEx>
        <w:trPr>
          <w:trHeight w:val="402" w:hRule="atLeast"/>
        </w:trPr>
        <w:tc>
          <w:tcPr>
            <w:tcW w:w="282" w:type="pct"/>
            <w:vMerge w:val="continue"/>
            <w:tcBorders>
              <w:top w:val="nil"/>
              <w:left w:val="single" w:color="auto" w:sz="4" w:space="0"/>
              <w:bottom w:val="single" w:color="auto" w:sz="4" w:space="0"/>
              <w:right w:val="single" w:color="auto" w:sz="4" w:space="0"/>
            </w:tcBorders>
            <w:vAlign w:val="center"/>
          </w:tcPr>
          <w:p w14:paraId="7A7BD636">
            <w:pPr>
              <w:widowControl/>
              <w:jc w:val="left"/>
              <w:rPr>
                <w:rFonts w:hint="eastAsia" w:ascii="宋体" w:hAnsi="宋体" w:cs="宋体"/>
                <w:kern w:val="0"/>
                <w:sz w:val="20"/>
                <w:szCs w:val="20"/>
              </w:rPr>
            </w:pPr>
          </w:p>
        </w:tc>
        <w:tc>
          <w:tcPr>
            <w:tcW w:w="282" w:type="pct"/>
            <w:vMerge w:val="continue"/>
            <w:tcBorders>
              <w:top w:val="nil"/>
              <w:left w:val="single" w:color="auto" w:sz="4" w:space="0"/>
              <w:bottom w:val="single" w:color="auto" w:sz="4" w:space="0"/>
              <w:right w:val="single" w:color="auto" w:sz="4" w:space="0"/>
            </w:tcBorders>
            <w:vAlign w:val="center"/>
          </w:tcPr>
          <w:p w14:paraId="7BD5DD16">
            <w:pPr>
              <w:widowControl/>
              <w:jc w:val="left"/>
              <w:rPr>
                <w:rFonts w:hint="eastAsia" w:ascii="宋体" w:hAnsi="宋体" w:cs="宋体"/>
                <w:kern w:val="0"/>
                <w:sz w:val="20"/>
                <w:szCs w:val="20"/>
              </w:rPr>
            </w:pPr>
          </w:p>
        </w:tc>
        <w:tc>
          <w:tcPr>
            <w:tcW w:w="492" w:type="pct"/>
            <w:tcBorders>
              <w:top w:val="nil"/>
              <w:left w:val="nil"/>
              <w:bottom w:val="single" w:color="auto" w:sz="4" w:space="0"/>
              <w:right w:val="single" w:color="auto" w:sz="4" w:space="0"/>
            </w:tcBorders>
            <w:shd w:val="clear" w:color="auto" w:fill="auto"/>
            <w:vAlign w:val="center"/>
          </w:tcPr>
          <w:p w14:paraId="568F7E6A">
            <w:pPr>
              <w:widowControl/>
              <w:jc w:val="center"/>
              <w:rPr>
                <w:rFonts w:hint="eastAsia" w:ascii="宋体" w:hAnsi="宋体" w:cs="宋体"/>
                <w:kern w:val="0"/>
                <w:sz w:val="20"/>
                <w:szCs w:val="20"/>
              </w:rPr>
            </w:pPr>
            <w:r>
              <w:rPr>
                <w:rFonts w:hint="eastAsia" w:ascii="宋体" w:hAnsi="宋体" w:cs="宋体"/>
                <w:kern w:val="0"/>
                <w:sz w:val="20"/>
                <w:szCs w:val="20"/>
              </w:rPr>
              <w:t>社会效益指标</w:t>
            </w:r>
          </w:p>
        </w:tc>
        <w:tc>
          <w:tcPr>
            <w:tcW w:w="1418" w:type="pct"/>
            <w:gridSpan w:val="3"/>
            <w:tcBorders>
              <w:top w:val="single" w:color="auto" w:sz="4" w:space="0"/>
              <w:left w:val="nil"/>
              <w:bottom w:val="single" w:color="auto" w:sz="4" w:space="0"/>
              <w:right w:val="single" w:color="000000" w:sz="4" w:space="0"/>
            </w:tcBorders>
            <w:shd w:val="clear" w:color="auto" w:fill="auto"/>
            <w:noWrap/>
            <w:vAlign w:val="center"/>
          </w:tcPr>
          <w:p w14:paraId="59F1983A">
            <w:pPr>
              <w:widowControl/>
              <w:jc w:val="left"/>
              <w:rPr>
                <w:rFonts w:hint="eastAsia" w:ascii="宋体" w:hAnsi="宋体" w:cs="宋体"/>
                <w:kern w:val="0"/>
                <w:sz w:val="20"/>
                <w:szCs w:val="20"/>
              </w:rPr>
            </w:pPr>
            <w:r>
              <w:rPr>
                <w:rFonts w:hint="eastAsia" w:ascii="宋体" w:hAnsi="宋体" w:cs="宋体"/>
                <w:kern w:val="0"/>
                <w:sz w:val="20"/>
                <w:szCs w:val="20"/>
              </w:rPr>
              <w:t>优抚对象基本生活保障率</w:t>
            </w:r>
          </w:p>
        </w:tc>
        <w:tc>
          <w:tcPr>
            <w:tcW w:w="479" w:type="pct"/>
            <w:tcBorders>
              <w:top w:val="nil"/>
              <w:left w:val="nil"/>
              <w:bottom w:val="single" w:color="auto" w:sz="4" w:space="0"/>
              <w:right w:val="single" w:color="auto" w:sz="4" w:space="0"/>
            </w:tcBorders>
            <w:shd w:val="clear" w:color="auto" w:fill="auto"/>
            <w:vAlign w:val="center"/>
          </w:tcPr>
          <w:p w14:paraId="2469BC3E">
            <w:pPr>
              <w:widowControl/>
              <w:jc w:val="center"/>
              <w:rPr>
                <w:rFonts w:hint="eastAsia" w:ascii="宋体" w:hAnsi="宋体" w:cs="宋体"/>
                <w:kern w:val="0"/>
                <w:sz w:val="20"/>
                <w:szCs w:val="20"/>
              </w:rPr>
            </w:pPr>
            <w:r>
              <w:rPr>
                <w:rFonts w:hint="eastAsia" w:ascii="宋体" w:hAnsi="宋体" w:cs="宋体"/>
                <w:kern w:val="0"/>
                <w:sz w:val="20"/>
                <w:szCs w:val="20"/>
              </w:rPr>
              <w:t>&gt;=90%</w:t>
            </w:r>
          </w:p>
        </w:tc>
        <w:tc>
          <w:tcPr>
            <w:tcW w:w="421" w:type="pct"/>
            <w:tcBorders>
              <w:top w:val="nil"/>
              <w:left w:val="nil"/>
              <w:bottom w:val="single" w:color="auto" w:sz="4" w:space="0"/>
              <w:right w:val="single" w:color="auto" w:sz="4" w:space="0"/>
            </w:tcBorders>
            <w:shd w:val="clear" w:color="auto" w:fill="auto"/>
            <w:vAlign w:val="center"/>
          </w:tcPr>
          <w:p w14:paraId="076761D5">
            <w:pPr>
              <w:widowControl/>
              <w:jc w:val="center"/>
              <w:rPr>
                <w:rFonts w:hint="eastAsia" w:ascii="宋体" w:hAnsi="宋体" w:cs="宋体"/>
                <w:kern w:val="0"/>
                <w:sz w:val="20"/>
                <w:szCs w:val="20"/>
              </w:rPr>
            </w:pPr>
            <w:r>
              <w:rPr>
                <w:rFonts w:hint="eastAsia" w:ascii="宋体" w:hAnsi="宋体" w:cs="宋体"/>
                <w:kern w:val="0"/>
                <w:sz w:val="20"/>
                <w:szCs w:val="20"/>
              </w:rPr>
              <w:t>=90%</w:t>
            </w:r>
          </w:p>
        </w:tc>
        <w:tc>
          <w:tcPr>
            <w:tcW w:w="329" w:type="pct"/>
            <w:gridSpan w:val="2"/>
            <w:tcBorders>
              <w:top w:val="single" w:color="auto" w:sz="4" w:space="0"/>
              <w:left w:val="nil"/>
              <w:bottom w:val="single" w:color="auto" w:sz="4" w:space="0"/>
              <w:right w:val="single" w:color="000000" w:sz="4" w:space="0"/>
            </w:tcBorders>
            <w:shd w:val="clear" w:color="auto" w:fill="auto"/>
            <w:vAlign w:val="center"/>
          </w:tcPr>
          <w:p w14:paraId="2420CA8C">
            <w:pPr>
              <w:widowControl/>
              <w:jc w:val="center"/>
              <w:rPr>
                <w:rFonts w:hint="eastAsia" w:ascii="宋体" w:hAnsi="宋体" w:cs="宋体"/>
                <w:kern w:val="0"/>
                <w:sz w:val="20"/>
                <w:szCs w:val="20"/>
              </w:rPr>
            </w:pPr>
            <w:r>
              <w:rPr>
                <w:rFonts w:hint="eastAsia" w:ascii="宋体" w:hAnsi="宋体" w:cs="宋体"/>
                <w:kern w:val="0"/>
                <w:sz w:val="20"/>
                <w:szCs w:val="20"/>
              </w:rPr>
              <w:t>20</w:t>
            </w:r>
          </w:p>
        </w:tc>
        <w:tc>
          <w:tcPr>
            <w:tcW w:w="464" w:type="pct"/>
            <w:gridSpan w:val="2"/>
            <w:tcBorders>
              <w:top w:val="single" w:color="auto" w:sz="4" w:space="0"/>
              <w:left w:val="nil"/>
              <w:bottom w:val="single" w:color="auto" w:sz="4" w:space="0"/>
              <w:right w:val="single" w:color="000000" w:sz="4" w:space="0"/>
            </w:tcBorders>
            <w:shd w:val="clear" w:color="auto" w:fill="auto"/>
            <w:vAlign w:val="center"/>
          </w:tcPr>
          <w:p w14:paraId="1907301B">
            <w:pPr>
              <w:widowControl/>
              <w:jc w:val="center"/>
              <w:rPr>
                <w:rFonts w:hint="eastAsia" w:ascii="宋体" w:hAnsi="宋体" w:cs="宋体"/>
                <w:kern w:val="0"/>
                <w:sz w:val="20"/>
                <w:szCs w:val="20"/>
              </w:rPr>
            </w:pPr>
            <w:r>
              <w:rPr>
                <w:rFonts w:hint="eastAsia" w:ascii="宋体" w:hAnsi="宋体" w:cs="宋体"/>
                <w:kern w:val="0"/>
                <w:sz w:val="20"/>
                <w:szCs w:val="20"/>
              </w:rPr>
              <w:t>20</w:t>
            </w:r>
          </w:p>
        </w:tc>
        <w:tc>
          <w:tcPr>
            <w:tcW w:w="704" w:type="pct"/>
            <w:gridSpan w:val="2"/>
            <w:tcBorders>
              <w:top w:val="single" w:color="auto" w:sz="4" w:space="0"/>
              <w:left w:val="nil"/>
              <w:bottom w:val="single" w:color="auto" w:sz="4" w:space="0"/>
              <w:right w:val="single" w:color="auto" w:sz="4" w:space="0"/>
            </w:tcBorders>
            <w:shd w:val="clear" w:color="auto" w:fill="auto"/>
            <w:vAlign w:val="center"/>
          </w:tcPr>
          <w:p w14:paraId="43CD4E14">
            <w:pPr>
              <w:widowControl/>
              <w:jc w:val="center"/>
              <w:rPr>
                <w:rFonts w:hint="eastAsia" w:ascii="宋体" w:hAnsi="宋体" w:cs="宋体"/>
                <w:kern w:val="0"/>
                <w:sz w:val="20"/>
                <w:szCs w:val="20"/>
              </w:rPr>
            </w:pPr>
            <w:r>
              <w:rPr>
                <w:rFonts w:hint="eastAsia" w:ascii="宋体" w:hAnsi="宋体" w:cs="宋体"/>
                <w:kern w:val="0"/>
                <w:sz w:val="20"/>
                <w:szCs w:val="20"/>
              </w:rPr>
              <w:t>　</w:t>
            </w:r>
          </w:p>
        </w:tc>
        <w:tc>
          <w:tcPr>
            <w:tcW w:w="130" w:type="pct"/>
            <w:vAlign w:val="center"/>
          </w:tcPr>
          <w:p w14:paraId="3639400A">
            <w:pPr>
              <w:widowControl/>
              <w:jc w:val="left"/>
              <w:rPr>
                <w:rFonts w:eastAsia="Times New Roman"/>
                <w:kern w:val="0"/>
                <w:sz w:val="20"/>
                <w:szCs w:val="20"/>
              </w:rPr>
            </w:pPr>
          </w:p>
        </w:tc>
      </w:tr>
      <w:tr w14:paraId="0DAB4F82">
        <w:tblPrEx>
          <w:tblCellMar>
            <w:top w:w="0" w:type="dxa"/>
            <w:left w:w="108" w:type="dxa"/>
            <w:bottom w:w="0" w:type="dxa"/>
            <w:right w:w="108" w:type="dxa"/>
          </w:tblCellMar>
        </w:tblPrEx>
        <w:trPr>
          <w:trHeight w:val="402" w:hRule="atLeast"/>
        </w:trPr>
        <w:tc>
          <w:tcPr>
            <w:tcW w:w="282" w:type="pct"/>
            <w:vMerge w:val="continue"/>
            <w:tcBorders>
              <w:top w:val="nil"/>
              <w:left w:val="single" w:color="auto" w:sz="4" w:space="0"/>
              <w:bottom w:val="single" w:color="auto" w:sz="4" w:space="0"/>
              <w:right w:val="single" w:color="auto" w:sz="4" w:space="0"/>
            </w:tcBorders>
            <w:vAlign w:val="center"/>
          </w:tcPr>
          <w:p w14:paraId="26CFF35D">
            <w:pPr>
              <w:widowControl/>
              <w:jc w:val="left"/>
              <w:rPr>
                <w:rFonts w:hint="eastAsia" w:ascii="宋体" w:hAnsi="宋体" w:cs="宋体"/>
                <w:kern w:val="0"/>
                <w:sz w:val="20"/>
                <w:szCs w:val="20"/>
              </w:rPr>
            </w:pPr>
          </w:p>
        </w:tc>
        <w:tc>
          <w:tcPr>
            <w:tcW w:w="282" w:type="pct"/>
            <w:vMerge w:val="continue"/>
            <w:tcBorders>
              <w:top w:val="nil"/>
              <w:left w:val="single" w:color="auto" w:sz="4" w:space="0"/>
              <w:bottom w:val="single" w:color="auto" w:sz="4" w:space="0"/>
              <w:right w:val="single" w:color="auto" w:sz="4" w:space="0"/>
            </w:tcBorders>
            <w:vAlign w:val="center"/>
          </w:tcPr>
          <w:p w14:paraId="12B80CF5">
            <w:pPr>
              <w:widowControl/>
              <w:jc w:val="left"/>
              <w:rPr>
                <w:rFonts w:hint="eastAsia" w:ascii="宋体" w:hAnsi="宋体" w:cs="宋体"/>
                <w:kern w:val="0"/>
                <w:sz w:val="20"/>
                <w:szCs w:val="20"/>
              </w:rPr>
            </w:pPr>
          </w:p>
        </w:tc>
        <w:tc>
          <w:tcPr>
            <w:tcW w:w="492" w:type="pct"/>
            <w:tcBorders>
              <w:top w:val="nil"/>
              <w:left w:val="nil"/>
              <w:bottom w:val="single" w:color="auto" w:sz="4" w:space="0"/>
              <w:right w:val="single" w:color="auto" w:sz="4" w:space="0"/>
            </w:tcBorders>
            <w:shd w:val="clear" w:color="auto" w:fill="auto"/>
            <w:vAlign w:val="center"/>
          </w:tcPr>
          <w:p w14:paraId="39D5C222">
            <w:pPr>
              <w:widowControl/>
              <w:jc w:val="center"/>
              <w:rPr>
                <w:rFonts w:hint="eastAsia" w:ascii="宋体" w:hAnsi="宋体" w:cs="宋体"/>
                <w:kern w:val="0"/>
                <w:sz w:val="20"/>
                <w:szCs w:val="20"/>
              </w:rPr>
            </w:pPr>
            <w:r>
              <w:rPr>
                <w:rFonts w:hint="eastAsia" w:ascii="宋体" w:hAnsi="宋体" w:cs="宋体"/>
                <w:kern w:val="0"/>
                <w:sz w:val="20"/>
                <w:szCs w:val="20"/>
              </w:rPr>
              <w:t>生态效益指标</w:t>
            </w:r>
          </w:p>
        </w:tc>
        <w:tc>
          <w:tcPr>
            <w:tcW w:w="1418" w:type="pct"/>
            <w:gridSpan w:val="3"/>
            <w:tcBorders>
              <w:top w:val="single" w:color="auto" w:sz="4" w:space="0"/>
              <w:left w:val="nil"/>
              <w:bottom w:val="single" w:color="auto" w:sz="4" w:space="0"/>
              <w:right w:val="single" w:color="000000" w:sz="4" w:space="0"/>
            </w:tcBorders>
            <w:shd w:val="clear" w:color="auto" w:fill="auto"/>
            <w:noWrap/>
            <w:vAlign w:val="center"/>
          </w:tcPr>
          <w:p w14:paraId="588575DB">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479" w:type="pct"/>
            <w:tcBorders>
              <w:top w:val="nil"/>
              <w:left w:val="nil"/>
              <w:bottom w:val="single" w:color="auto" w:sz="4" w:space="0"/>
              <w:right w:val="single" w:color="auto" w:sz="4" w:space="0"/>
            </w:tcBorders>
            <w:shd w:val="clear" w:color="auto" w:fill="auto"/>
            <w:vAlign w:val="center"/>
          </w:tcPr>
          <w:p w14:paraId="130734CB">
            <w:pPr>
              <w:widowControl/>
              <w:jc w:val="center"/>
              <w:rPr>
                <w:rFonts w:hint="eastAsia" w:ascii="宋体" w:hAnsi="宋体" w:cs="宋体"/>
                <w:kern w:val="0"/>
                <w:sz w:val="20"/>
                <w:szCs w:val="20"/>
              </w:rPr>
            </w:pPr>
            <w:r>
              <w:rPr>
                <w:rFonts w:hint="eastAsia" w:ascii="宋体" w:hAnsi="宋体" w:cs="宋体"/>
                <w:kern w:val="0"/>
                <w:sz w:val="20"/>
                <w:szCs w:val="20"/>
              </w:rPr>
              <w:t>　</w:t>
            </w:r>
          </w:p>
        </w:tc>
        <w:tc>
          <w:tcPr>
            <w:tcW w:w="421" w:type="pct"/>
            <w:tcBorders>
              <w:top w:val="nil"/>
              <w:left w:val="nil"/>
              <w:bottom w:val="single" w:color="auto" w:sz="4" w:space="0"/>
              <w:right w:val="single" w:color="auto" w:sz="4" w:space="0"/>
            </w:tcBorders>
            <w:shd w:val="clear" w:color="auto" w:fill="auto"/>
            <w:vAlign w:val="center"/>
          </w:tcPr>
          <w:p w14:paraId="1681083F">
            <w:pPr>
              <w:widowControl/>
              <w:jc w:val="center"/>
              <w:rPr>
                <w:rFonts w:hint="eastAsia" w:ascii="宋体" w:hAnsi="宋体" w:cs="宋体"/>
                <w:kern w:val="0"/>
                <w:sz w:val="20"/>
                <w:szCs w:val="20"/>
              </w:rPr>
            </w:pPr>
            <w:r>
              <w:rPr>
                <w:rFonts w:hint="eastAsia" w:ascii="宋体" w:hAnsi="宋体" w:cs="宋体"/>
                <w:kern w:val="0"/>
                <w:sz w:val="20"/>
                <w:szCs w:val="20"/>
              </w:rPr>
              <w:t>　</w:t>
            </w:r>
          </w:p>
        </w:tc>
        <w:tc>
          <w:tcPr>
            <w:tcW w:w="329" w:type="pct"/>
            <w:gridSpan w:val="2"/>
            <w:tcBorders>
              <w:top w:val="single" w:color="auto" w:sz="4" w:space="0"/>
              <w:left w:val="nil"/>
              <w:bottom w:val="single" w:color="auto" w:sz="4" w:space="0"/>
              <w:right w:val="single" w:color="000000" w:sz="4" w:space="0"/>
            </w:tcBorders>
            <w:shd w:val="clear" w:color="auto" w:fill="auto"/>
            <w:vAlign w:val="center"/>
          </w:tcPr>
          <w:p w14:paraId="6F260AB6">
            <w:pPr>
              <w:widowControl/>
              <w:jc w:val="center"/>
              <w:rPr>
                <w:rFonts w:hint="eastAsia" w:ascii="宋体" w:hAnsi="宋体" w:cs="宋体"/>
                <w:kern w:val="0"/>
                <w:sz w:val="20"/>
                <w:szCs w:val="20"/>
              </w:rPr>
            </w:pPr>
            <w:r>
              <w:rPr>
                <w:rFonts w:hint="eastAsia" w:ascii="宋体" w:hAnsi="宋体" w:cs="宋体"/>
                <w:kern w:val="0"/>
                <w:sz w:val="20"/>
                <w:szCs w:val="20"/>
              </w:rPr>
              <w:t>　</w:t>
            </w:r>
          </w:p>
        </w:tc>
        <w:tc>
          <w:tcPr>
            <w:tcW w:w="464" w:type="pct"/>
            <w:gridSpan w:val="2"/>
            <w:tcBorders>
              <w:top w:val="single" w:color="auto" w:sz="4" w:space="0"/>
              <w:left w:val="nil"/>
              <w:bottom w:val="single" w:color="auto" w:sz="4" w:space="0"/>
              <w:right w:val="single" w:color="000000" w:sz="4" w:space="0"/>
            </w:tcBorders>
            <w:shd w:val="clear" w:color="auto" w:fill="auto"/>
            <w:vAlign w:val="center"/>
          </w:tcPr>
          <w:p w14:paraId="2175E04E">
            <w:pPr>
              <w:widowControl/>
              <w:jc w:val="center"/>
              <w:rPr>
                <w:rFonts w:hint="eastAsia" w:ascii="宋体" w:hAnsi="宋体" w:cs="宋体"/>
                <w:kern w:val="0"/>
                <w:sz w:val="20"/>
                <w:szCs w:val="20"/>
              </w:rPr>
            </w:pPr>
            <w:r>
              <w:rPr>
                <w:rFonts w:hint="eastAsia" w:ascii="宋体" w:hAnsi="宋体" w:cs="宋体"/>
                <w:kern w:val="0"/>
                <w:sz w:val="20"/>
                <w:szCs w:val="20"/>
              </w:rPr>
              <w:t>　</w:t>
            </w:r>
          </w:p>
        </w:tc>
        <w:tc>
          <w:tcPr>
            <w:tcW w:w="704" w:type="pct"/>
            <w:gridSpan w:val="2"/>
            <w:tcBorders>
              <w:top w:val="single" w:color="auto" w:sz="4" w:space="0"/>
              <w:left w:val="nil"/>
              <w:bottom w:val="single" w:color="auto" w:sz="4" w:space="0"/>
              <w:right w:val="single" w:color="auto" w:sz="4" w:space="0"/>
            </w:tcBorders>
            <w:shd w:val="clear" w:color="auto" w:fill="auto"/>
            <w:vAlign w:val="center"/>
          </w:tcPr>
          <w:p w14:paraId="422AD14D">
            <w:pPr>
              <w:widowControl/>
              <w:jc w:val="center"/>
              <w:rPr>
                <w:rFonts w:hint="eastAsia" w:ascii="宋体" w:hAnsi="宋体" w:cs="宋体"/>
                <w:kern w:val="0"/>
                <w:sz w:val="20"/>
                <w:szCs w:val="20"/>
              </w:rPr>
            </w:pPr>
            <w:r>
              <w:rPr>
                <w:rFonts w:hint="eastAsia" w:ascii="宋体" w:hAnsi="宋体" w:cs="宋体"/>
                <w:kern w:val="0"/>
                <w:sz w:val="20"/>
                <w:szCs w:val="20"/>
              </w:rPr>
              <w:t>　</w:t>
            </w:r>
          </w:p>
        </w:tc>
        <w:tc>
          <w:tcPr>
            <w:tcW w:w="130" w:type="pct"/>
            <w:vAlign w:val="center"/>
          </w:tcPr>
          <w:p w14:paraId="7FAC3CF4">
            <w:pPr>
              <w:widowControl/>
              <w:jc w:val="left"/>
              <w:rPr>
                <w:rFonts w:eastAsia="Times New Roman"/>
                <w:kern w:val="0"/>
                <w:sz w:val="20"/>
                <w:szCs w:val="20"/>
              </w:rPr>
            </w:pPr>
          </w:p>
        </w:tc>
      </w:tr>
      <w:tr w14:paraId="47CA5874">
        <w:tblPrEx>
          <w:tblCellMar>
            <w:top w:w="0" w:type="dxa"/>
            <w:left w:w="108" w:type="dxa"/>
            <w:bottom w:w="0" w:type="dxa"/>
            <w:right w:w="108" w:type="dxa"/>
          </w:tblCellMar>
        </w:tblPrEx>
        <w:trPr>
          <w:trHeight w:val="402" w:hRule="atLeast"/>
        </w:trPr>
        <w:tc>
          <w:tcPr>
            <w:tcW w:w="282" w:type="pct"/>
            <w:vMerge w:val="continue"/>
            <w:tcBorders>
              <w:top w:val="nil"/>
              <w:left w:val="single" w:color="auto" w:sz="4" w:space="0"/>
              <w:bottom w:val="single" w:color="auto" w:sz="4" w:space="0"/>
              <w:right w:val="single" w:color="auto" w:sz="4" w:space="0"/>
            </w:tcBorders>
            <w:vAlign w:val="center"/>
          </w:tcPr>
          <w:p w14:paraId="0015F33D">
            <w:pPr>
              <w:widowControl/>
              <w:jc w:val="left"/>
              <w:rPr>
                <w:rFonts w:hint="eastAsia" w:ascii="宋体" w:hAnsi="宋体" w:cs="宋体"/>
                <w:kern w:val="0"/>
                <w:sz w:val="20"/>
                <w:szCs w:val="20"/>
              </w:rPr>
            </w:pPr>
          </w:p>
        </w:tc>
        <w:tc>
          <w:tcPr>
            <w:tcW w:w="282" w:type="pct"/>
            <w:tcBorders>
              <w:top w:val="nil"/>
              <w:left w:val="nil"/>
              <w:bottom w:val="single" w:color="auto" w:sz="4" w:space="0"/>
              <w:right w:val="single" w:color="auto" w:sz="4" w:space="0"/>
            </w:tcBorders>
            <w:shd w:val="clear" w:color="auto" w:fill="auto"/>
            <w:vAlign w:val="center"/>
          </w:tcPr>
          <w:p w14:paraId="652129CC">
            <w:pPr>
              <w:widowControl/>
              <w:jc w:val="center"/>
              <w:rPr>
                <w:rFonts w:hint="eastAsia" w:ascii="宋体" w:hAnsi="宋体" w:cs="宋体"/>
                <w:kern w:val="0"/>
                <w:sz w:val="20"/>
                <w:szCs w:val="20"/>
              </w:rPr>
            </w:pPr>
            <w:r>
              <w:rPr>
                <w:rFonts w:hint="eastAsia" w:ascii="宋体" w:hAnsi="宋体" w:cs="宋体"/>
                <w:kern w:val="0"/>
                <w:sz w:val="20"/>
                <w:szCs w:val="20"/>
              </w:rPr>
              <w:t>满意度指标</w:t>
            </w:r>
          </w:p>
        </w:tc>
        <w:tc>
          <w:tcPr>
            <w:tcW w:w="492" w:type="pct"/>
            <w:tcBorders>
              <w:top w:val="nil"/>
              <w:left w:val="nil"/>
              <w:bottom w:val="single" w:color="auto" w:sz="4" w:space="0"/>
              <w:right w:val="single" w:color="auto" w:sz="4" w:space="0"/>
            </w:tcBorders>
            <w:shd w:val="clear" w:color="auto" w:fill="auto"/>
            <w:vAlign w:val="center"/>
          </w:tcPr>
          <w:p w14:paraId="444D719E">
            <w:pPr>
              <w:widowControl/>
              <w:jc w:val="center"/>
              <w:rPr>
                <w:rFonts w:hint="eastAsia" w:ascii="宋体" w:hAnsi="宋体" w:cs="宋体"/>
                <w:kern w:val="0"/>
                <w:sz w:val="20"/>
                <w:szCs w:val="20"/>
              </w:rPr>
            </w:pPr>
            <w:r>
              <w:rPr>
                <w:rFonts w:hint="eastAsia" w:ascii="宋体" w:hAnsi="宋体" w:cs="宋体"/>
                <w:kern w:val="0"/>
                <w:sz w:val="20"/>
                <w:szCs w:val="20"/>
              </w:rPr>
              <w:t>满意度指标</w:t>
            </w:r>
          </w:p>
        </w:tc>
        <w:tc>
          <w:tcPr>
            <w:tcW w:w="1418" w:type="pct"/>
            <w:gridSpan w:val="3"/>
            <w:tcBorders>
              <w:top w:val="single" w:color="auto" w:sz="4" w:space="0"/>
              <w:left w:val="nil"/>
              <w:bottom w:val="single" w:color="auto" w:sz="4" w:space="0"/>
              <w:right w:val="single" w:color="000000" w:sz="4" w:space="0"/>
            </w:tcBorders>
            <w:shd w:val="clear" w:color="auto" w:fill="auto"/>
            <w:noWrap/>
            <w:vAlign w:val="center"/>
          </w:tcPr>
          <w:p w14:paraId="6A0CA133">
            <w:pPr>
              <w:widowControl/>
              <w:jc w:val="left"/>
              <w:rPr>
                <w:rFonts w:hint="eastAsia" w:ascii="宋体" w:hAnsi="宋体" w:cs="宋体"/>
                <w:kern w:val="0"/>
                <w:sz w:val="20"/>
                <w:szCs w:val="20"/>
              </w:rPr>
            </w:pPr>
            <w:r>
              <w:rPr>
                <w:rFonts w:hint="eastAsia" w:ascii="宋体" w:hAnsi="宋体" w:cs="宋体"/>
                <w:kern w:val="0"/>
                <w:sz w:val="20"/>
                <w:szCs w:val="20"/>
              </w:rPr>
              <w:t>优抚对象满意度</w:t>
            </w:r>
          </w:p>
        </w:tc>
        <w:tc>
          <w:tcPr>
            <w:tcW w:w="479" w:type="pct"/>
            <w:tcBorders>
              <w:top w:val="nil"/>
              <w:left w:val="nil"/>
              <w:bottom w:val="single" w:color="auto" w:sz="4" w:space="0"/>
              <w:right w:val="single" w:color="auto" w:sz="4" w:space="0"/>
            </w:tcBorders>
            <w:shd w:val="clear" w:color="auto" w:fill="auto"/>
            <w:vAlign w:val="center"/>
          </w:tcPr>
          <w:p w14:paraId="01910376">
            <w:pPr>
              <w:widowControl/>
              <w:jc w:val="center"/>
              <w:rPr>
                <w:rFonts w:hint="eastAsia" w:ascii="宋体" w:hAnsi="宋体" w:cs="宋体"/>
                <w:kern w:val="0"/>
                <w:sz w:val="20"/>
                <w:szCs w:val="20"/>
              </w:rPr>
            </w:pPr>
            <w:r>
              <w:rPr>
                <w:rFonts w:hint="eastAsia" w:ascii="宋体" w:hAnsi="宋体" w:cs="宋体"/>
                <w:kern w:val="0"/>
                <w:sz w:val="20"/>
                <w:szCs w:val="20"/>
              </w:rPr>
              <w:t>&gt;=95%</w:t>
            </w:r>
          </w:p>
        </w:tc>
        <w:tc>
          <w:tcPr>
            <w:tcW w:w="421" w:type="pct"/>
            <w:tcBorders>
              <w:top w:val="nil"/>
              <w:left w:val="nil"/>
              <w:bottom w:val="single" w:color="auto" w:sz="4" w:space="0"/>
              <w:right w:val="single" w:color="auto" w:sz="4" w:space="0"/>
            </w:tcBorders>
            <w:shd w:val="clear" w:color="auto" w:fill="auto"/>
            <w:vAlign w:val="center"/>
          </w:tcPr>
          <w:p w14:paraId="333E88DB">
            <w:pPr>
              <w:widowControl/>
              <w:jc w:val="center"/>
              <w:rPr>
                <w:rFonts w:hint="eastAsia" w:ascii="宋体" w:hAnsi="宋体" w:cs="宋体"/>
                <w:kern w:val="0"/>
                <w:sz w:val="20"/>
                <w:szCs w:val="20"/>
              </w:rPr>
            </w:pPr>
            <w:r>
              <w:rPr>
                <w:rFonts w:hint="eastAsia" w:ascii="宋体" w:hAnsi="宋体" w:cs="宋体"/>
                <w:kern w:val="0"/>
                <w:sz w:val="20"/>
                <w:szCs w:val="20"/>
              </w:rPr>
              <w:t>=95%</w:t>
            </w:r>
          </w:p>
        </w:tc>
        <w:tc>
          <w:tcPr>
            <w:tcW w:w="329" w:type="pct"/>
            <w:gridSpan w:val="2"/>
            <w:tcBorders>
              <w:top w:val="single" w:color="auto" w:sz="4" w:space="0"/>
              <w:left w:val="nil"/>
              <w:bottom w:val="single" w:color="auto" w:sz="4" w:space="0"/>
              <w:right w:val="single" w:color="000000" w:sz="4" w:space="0"/>
            </w:tcBorders>
            <w:shd w:val="clear" w:color="auto" w:fill="auto"/>
            <w:vAlign w:val="center"/>
          </w:tcPr>
          <w:p w14:paraId="0114FBE0">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464" w:type="pct"/>
            <w:gridSpan w:val="2"/>
            <w:tcBorders>
              <w:top w:val="single" w:color="auto" w:sz="4" w:space="0"/>
              <w:left w:val="nil"/>
              <w:bottom w:val="single" w:color="auto" w:sz="4" w:space="0"/>
              <w:right w:val="single" w:color="000000" w:sz="4" w:space="0"/>
            </w:tcBorders>
            <w:shd w:val="clear" w:color="auto" w:fill="auto"/>
            <w:vAlign w:val="center"/>
          </w:tcPr>
          <w:p w14:paraId="1D0F75D7">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704" w:type="pct"/>
            <w:gridSpan w:val="2"/>
            <w:tcBorders>
              <w:top w:val="single" w:color="auto" w:sz="4" w:space="0"/>
              <w:left w:val="nil"/>
              <w:bottom w:val="single" w:color="auto" w:sz="4" w:space="0"/>
              <w:right w:val="single" w:color="auto" w:sz="4" w:space="0"/>
            </w:tcBorders>
            <w:shd w:val="clear" w:color="auto" w:fill="auto"/>
            <w:vAlign w:val="center"/>
          </w:tcPr>
          <w:p w14:paraId="75287070">
            <w:pPr>
              <w:widowControl/>
              <w:jc w:val="center"/>
              <w:rPr>
                <w:rFonts w:hint="eastAsia" w:ascii="宋体" w:hAnsi="宋体" w:cs="宋体"/>
                <w:kern w:val="0"/>
                <w:sz w:val="20"/>
                <w:szCs w:val="20"/>
              </w:rPr>
            </w:pPr>
            <w:r>
              <w:rPr>
                <w:rFonts w:hint="eastAsia" w:ascii="宋体" w:hAnsi="宋体" w:cs="宋体"/>
                <w:kern w:val="0"/>
                <w:sz w:val="20"/>
                <w:szCs w:val="20"/>
              </w:rPr>
              <w:t>　</w:t>
            </w:r>
          </w:p>
        </w:tc>
        <w:tc>
          <w:tcPr>
            <w:tcW w:w="130" w:type="pct"/>
            <w:vAlign w:val="center"/>
          </w:tcPr>
          <w:p w14:paraId="2B6E76A5">
            <w:pPr>
              <w:widowControl/>
              <w:jc w:val="left"/>
              <w:rPr>
                <w:rFonts w:eastAsia="Times New Roman"/>
                <w:kern w:val="0"/>
                <w:sz w:val="20"/>
                <w:szCs w:val="20"/>
              </w:rPr>
            </w:pPr>
          </w:p>
        </w:tc>
      </w:tr>
      <w:tr w14:paraId="268CF092">
        <w:tblPrEx>
          <w:tblCellMar>
            <w:top w:w="0" w:type="dxa"/>
            <w:left w:w="108" w:type="dxa"/>
            <w:bottom w:w="0" w:type="dxa"/>
            <w:right w:w="108" w:type="dxa"/>
          </w:tblCellMar>
        </w:tblPrEx>
        <w:trPr>
          <w:trHeight w:val="270" w:hRule="atLeast"/>
        </w:trPr>
        <w:tc>
          <w:tcPr>
            <w:tcW w:w="3374" w:type="pct"/>
            <w:gridSpan w:val="8"/>
            <w:tcBorders>
              <w:top w:val="single" w:color="auto" w:sz="4" w:space="0"/>
              <w:left w:val="single" w:color="auto" w:sz="4" w:space="0"/>
              <w:bottom w:val="single" w:color="auto" w:sz="4" w:space="0"/>
              <w:right w:val="single" w:color="auto" w:sz="4" w:space="0"/>
            </w:tcBorders>
            <w:shd w:val="clear" w:color="auto" w:fill="auto"/>
            <w:vAlign w:val="center"/>
          </w:tcPr>
          <w:p w14:paraId="38B0430A">
            <w:pPr>
              <w:widowControl/>
              <w:jc w:val="center"/>
              <w:rPr>
                <w:rFonts w:hint="eastAsia" w:ascii="宋体" w:hAnsi="宋体" w:cs="宋体"/>
                <w:kern w:val="0"/>
                <w:sz w:val="20"/>
                <w:szCs w:val="20"/>
              </w:rPr>
            </w:pPr>
            <w:r>
              <w:rPr>
                <w:rFonts w:hint="eastAsia" w:ascii="宋体" w:hAnsi="宋体" w:cs="宋体"/>
                <w:kern w:val="0"/>
                <w:sz w:val="20"/>
                <w:szCs w:val="20"/>
              </w:rPr>
              <w:t>总分</w:t>
            </w:r>
          </w:p>
        </w:tc>
        <w:tc>
          <w:tcPr>
            <w:tcW w:w="329" w:type="pct"/>
            <w:gridSpan w:val="2"/>
            <w:tcBorders>
              <w:top w:val="single" w:color="auto" w:sz="4" w:space="0"/>
              <w:left w:val="nil"/>
              <w:bottom w:val="single" w:color="auto" w:sz="4" w:space="0"/>
              <w:right w:val="single" w:color="auto" w:sz="4" w:space="0"/>
            </w:tcBorders>
            <w:shd w:val="clear" w:color="auto" w:fill="auto"/>
            <w:vAlign w:val="center"/>
          </w:tcPr>
          <w:p w14:paraId="5D08BBDC">
            <w:pPr>
              <w:widowControl/>
              <w:jc w:val="center"/>
              <w:rPr>
                <w:rFonts w:hint="eastAsia" w:ascii="宋体" w:hAnsi="宋体" w:cs="宋体"/>
                <w:kern w:val="0"/>
                <w:sz w:val="20"/>
                <w:szCs w:val="20"/>
              </w:rPr>
            </w:pPr>
            <w:r>
              <w:rPr>
                <w:rFonts w:hint="eastAsia" w:ascii="宋体" w:hAnsi="宋体" w:cs="宋体"/>
                <w:kern w:val="0"/>
                <w:sz w:val="20"/>
                <w:szCs w:val="20"/>
              </w:rPr>
              <w:t>100</w:t>
            </w:r>
          </w:p>
        </w:tc>
        <w:tc>
          <w:tcPr>
            <w:tcW w:w="464" w:type="pct"/>
            <w:gridSpan w:val="2"/>
            <w:tcBorders>
              <w:top w:val="single" w:color="auto" w:sz="4" w:space="0"/>
              <w:left w:val="nil"/>
              <w:bottom w:val="single" w:color="auto" w:sz="4" w:space="0"/>
              <w:right w:val="single" w:color="auto" w:sz="4" w:space="0"/>
            </w:tcBorders>
            <w:shd w:val="clear" w:color="auto" w:fill="auto"/>
            <w:vAlign w:val="center"/>
          </w:tcPr>
          <w:p w14:paraId="331BCFF9">
            <w:pPr>
              <w:widowControl/>
              <w:jc w:val="center"/>
              <w:rPr>
                <w:rFonts w:hint="eastAsia" w:ascii="宋体" w:hAnsi="宋体" w:cs="宋体"/>
                <w:kern w:val="0"/>
                <w:sz w:val="20"/>
                <w:szCs w:val="20"/>
              </w:rPr>
            </w:pPr>
            <w:r>
              <w:rPr>
                <w:rFonts w:hint="eastAsia" w:ascii="宋体" w:hAnsi="宋体" w:cs="宋体"/>
                <w:kern w:val="0"/>
                <w:sz w:val="20"/>
                <w:szCs w:val="20"/>
              </w:rPr>
              <w:t>99.1分</w:t>
            </w:r>
          </w:p>
        </w:tc>
        <w:tc>
          <w:tcPr>
            <w:tcW w:w="704" w:type="pct"/>
            <w:gridSpan w:val="2"/>
            <w:tcBorders>
              <w:top w:val="single" w:color="auto" w:sz="4" w:space="0"/>
              <w:left w:val="nil"/>
              <w:bottom w:val="single" w:color="auto" w:sz="4" w:space="0"/>
              <w:right w:val="single" w:color="auto" w:sz="4" w:space="0"/>
            </w:tcBorders>
            <w:shd w:val="clear" w:color="auto" w:fill="auto"/>
            <w:vAlign w:val="center"/>
          </w:tcPr>
          <w:p w14:paraId="4D065042">
            <w:pPr>
              <w:widowControl/>
              <w:jc w:val="center"/>
              <w:rPr>
                <w:rFonts w:hint="eastAsia" w:ascii="宋体" w:hAnsi="宋体" w:cs="宋体"/>
                <w:kern w:val="0"/>
                <w:sz w:val="20"/>
                <w:szCs w:val="20"/>
              </w:rPr>
            </w:pPr>
            <w:r>
              <w:rPr>
                <w:rFonts w:hint="eastAsia" w:ascii="宋体" w:hAnsi="宋体" w:cs="宋体"/>
                <w:kern w:val="0"/>
                <w:sz w:val="20"/>
                <w:szCs w:val="20"/>
              </w:rPr>
              <w:t>　</w:t>
            </w:r>
          </w:p>
        </w:tc>
        <w:tc>
          <w:tcPr>
            <w:tcW w:w="130" w:type="pct"/>
            <w:vAlign w:val="center"/>
          </w:tcPr>
          <w:p w14:paraId="0641D4CA">
            <w:pPr>
              <w:widowControl/>
              <w:jc w:val="left"/>
              <w:rPr>
                <w:rFonts w:eastAsia="Times New Roman"/>
                <w:kern w:val="0"/>
                <w:sz w:val="20"/>
                <w:szCs w:val="20"/>
              </w:rPr>
            </w:pPr>
          </w:p>
        </w:tc>
      </w:tr>
    </w:tbl>
    <w:p w14:paraId="4384B491">
      <w:pPr>
        <w:ind w:firstLine="640" w:firstLineChars="200"/>
        <w:jc w:val="left"/>
        <w:rPr>
          <w:rFonts w:ascii="仿宋_GB2312" w:eastAsia="仿宋_GB2312"/>
          <w:sz w:val="32"/>
          <w:szCs w:val="32"/>
        </w:rPr>
      </w:pPr>
    </w:p>
    <w:p w14:paraId="5EDBA454">
      <w:pPr>
        <w:ind w:firstLine="640" w:firstLineChars="200"/>
        <w:jc w:val="left"/>
        <w:rPr>
          <w:rFonts w:hint="eastAsia" w:ascii="黑体" w:hAnsi="黑体" w:eastAsia="黑体" w:cs="宋体"/>
          <w:bCs/>
          <w:kern w:val="0"/>
          <w:sz w:val="32"/>
          <w:szCs w:val="32"/>
        </w:rPr>
      </w:pPr>
      <w:r>
        <w:rPr>
          <w:rFonts w:hint="eastAsia" w:ascii="黑体" w:hAnsi="黑体" w:eastAsia="黑体" w:cs="宋体"/>
          <w:bCs/>
          <w:kern w:val="0"/>
          <w:sz w:val="32"/>
          <w:szCs w:val="32"/>
        </w:rPr>
        <w:t>十二、其他需说明的事项</w:t>
      </w:r>
    </w:p>
    <w:p w14:paraId="2B3C10B8">
      <w:pPr>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本单位无其他需说明事项。</w:t>
      </w:r>
    </w:p>
    <w:p w14:paraId="31726749">
      <w:pPr>
        <w:jc w:val="center"/>
        <w:outlineLvl w:val="0"/>
        <w:rPr>
          <w:rFonts w:hint="eastAsia" w:ascii="黑体" w:hAnsi="黑体" w:eastAsia="黑体"/>
          <w:sz w:val="32"/>
          <w:szCs w:val="32"/>
        </w:rPr>
      </w:pPr>
      <w:bookmarkStart w:id="30" w:name="_Toc3250"/>
      <w:bookmarkStart w:id="31" w:name="_Toc24143"/>
      <w:r>
        <w:rPr>
          <w:rFonts w:hint="eastAsia" w:ascii="黑体" w:hAnsi="黑体" w:eastAsia="黑体"/>
          <w:sz w:val="32"/>
          <w:szCs w:val="32"/>
        </w:rPr>
        <w:t>第三部分 专业名词解释</w:t>
      </w:r>
      <w:bookmarkEnd w:id="30"/>
      <w:bookmarkEnd w:id="31"/>
    </w:p>
    <w:p w14:paraId="0CF11AD6">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一、财政拨款收入：</w:t>
      </w:r>
      <w:r>
        <w:rPr>
          <w:rFonts w:hint="eastAsia" w:ascii="仿宋_GB2312" w:eastAsia="仿宋_GB2312"/>
          <w:sz w:val="32"/>
          <w:szCs w:val="32"/>
        </w:rPr>
        <w:t>指同级财政当年拨付的资金。</w:t>
      </w:r>
    </w:p>
    <w:p w14:paraId="189F49E1">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二、上级补助收入：</w:t>
      </w:r>
      <w:r>
        <w:rPr>
          <w:rFonts w:hint="eastAsia" w:ascii="仿宋_GB2312" w:eastAsia="仿宋_GB2312"/>
          <w:sz w:val="32"/>
          <w:szCs w:val="32"/>
        </w:rPr>
        <w:t>指事业单位从主管部门和上级单位取得的非财政补助收入。</w:t>
      </w:r>
    </w:p>
    <w:p w14:paraId="31E1F0D1">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三、事业收入：</w:t>
      </w:r>
      <w:r>
        <w:rPr>
          <w:rFonts w:hint="eastAsia" w:ascii="仿宋_GB2312" w:eastAsia="仿宋_GB2312"/>
          <w:sz w:val="32"/>
          <w:szCs w:val="32"/>
        </w:rPr>
        <w:t>指事业单位开展专业业务活动及其辅助活动所取得的收入。</w:t>
      </w:r>
    </w:p>
    <w:p w14:paraId="43E03E9E">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四、经营收入：</w:t>
      </w:r>
      <w:r>
        <w:rPr>
          <w:rFonts w:hint="eastAsia" w:ascii="仿宋_GB2312" w:eastAsia="仿宋_GB2312"/>
          <w:sz w:val="32"/>
          <w:szCs w:val="32"/>
        </w:rPr>
        <w:t>指事业单位在专业业务活动及其辅助活动之外开展非独立核算经营活动取得的收入。</w:t>
      </w:r>
    </w:p>
    <w:p w14:paraId="0CCF1230">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五、附属单位上缴收入：</w:t>
      </w:r>
      <w:r>
        <w:rPr>
          <w:rFonts w:hint="eastAsia" w:ascii="仿宋_GB2312" w:eastAsia="仿宋_GB2312"/>
          <w:sz w:val="32"/>
          <w:szCs w:val="32"/>
        </w:rPr>
        <w:t>指事业单位附属的独立核算单位按有关规定上缴的收入。</w:t>
      </w:r>
    </w:p>
    <w:p w14:paraId="7EF9664B">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六、其他收入：</w:t>
      </w:r>
      <w:r>
        <w:rPr>
          <w:rFonts w:hint="eastAsia" w:ascii="仿宋_GB2312" w:eastAsia="仿宋_GB2312"/>
          <w:sz w:val="32"/>
          <w:szCs w:val="32"/>
        </w:rPr>
        <w:t>指除上述“财政拨款收入”、“事业收入”、“经营收入”、“附属单位上缴收入”等之外取得的收入。</w:t>
      </w:r>
    </w:p>
    <w:p w14:paraId="40D6478D">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七、年初结转和结余：</w:t>
      </w:r>
      <w:r>
        <w:rPr>
          <w:rFonts w:hint="eastAsia" w:ascii="仿宋_GB2312" w:eastAsia="仿宋_GB2312"/>
          <w:sz w:val="32"/>
          <w:szCs w:val="32"/>
        </w:rPr>
        <w:t>指以前年度支出预算因客观条件变化未执行完毕、结转到本年度按有关规定继续使用的资金，既包括财政拨款结转和结余，也包括事业收入、经营收入、其他收入的结转和结余。</w:t>
      </w:r>
    </w:p>
    <w:p w14:paraId="7783D33F">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八、年末结转和结余：</w:t>
      </w:r>
      <w:r>
        <w:rPr>
          <w:rFonts w:hint="eastAsia" w:ascii="仿宋_GB2312" w:eastAsia="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174C0EBA">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九、基本支出：</w:t>
      </w:r>
      <w:r>
        <w:rPr>
          <w:rFonts w:hint="eastAsia" w:ascii="仿宋_GB2312" w:eastAsia="仿宋_GB2312"/>
          <w:sz w:val="32"/>
          <w:szCs w:val="32"/>
        </w:rPr>
        <w:t>指为保障机构正常运转、完成日常工作任务而发生的人员支出和公用支出。</w:t>
      </w:r>
    </w:p>
    <w:p w14:paraId="5BDDAC57">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十、项目支出：</w:t>
      </w:r>
      <w:r>
        <w:rPr>
          <w:rFonts w:hint="eastAsia" w:ascii="仿宋_GB2312" w:eastAsia="仿宋_GB2312"/>
          <w:sz w:val="32"/>
          <w:szCs w:val="32"/>
        </w:rPr>
        <w:t>指在基本支出之外为完成特定行政任务和事业发展目标所发生的支出。</w:t>
      </w:r>
    </w:p>
    <w:p w14:paraId="62297D57">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十一、经营支出：</w:t>
      </w:r>
      <w:r>
        <w:rPr>
          <w:rFonts w:hint="eastAsia" w:ascii="仿宋_GB2312" w:eastAsia="仿宋_GB2312"/>
          <w:sz w:val="32"/>
          <w:szCs w:val="32"/>
        </w:rPr>
        <w:t>指事业单位在专业业务活动及其辅助活动之外开展非独立核算经营活动发生的支出。</w:t>
      </w:r>
    </w:p>
    <w:p w14:paraId="6CBA567C">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十二、对附属单位补助支出：</w:t>
      </w:r>
      <w:r>
        <w:rPr>
          <w:rFonts w:hint="eastAsia" w:ascii="仿宋_GB2312" w:eastAsia="仿宋_GB2312"/>
          <w:sz w:val="32"/>
          <w:szCs w:val="32"/>
        </w:rPr>
        <w:t>指事业单位发生的用非财政预算资金对附属单位的补助支出。</w:t>
      </w:r>
    </w:p>
    <w:p w14:paraId="4394B1C2">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十三、“三公”经费：</w:t>
      </w:r>
      <w:r>
        <w:rPr>
          <w:rFonts w:hint="eastAsia" w:ascii="仿宋_GB2312" w:eastAsia="仿宋_GB2312"/>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3A7429BB">
      <w:pPr>
        <w:ind w:firstLine="643" w:firstLineChars="200"/>
        <w:rPr>
          <w:rFonts w:ascii="仿宋_GB2312" w:eastAsia="仿宋_GB2312"/>
          <w:sz w:val="32"/>
          <w:szCs w:val="32"/>
        </w:rPr>
      </w:pPr>
      <w:r>
        <w:rPr>
          <w:rFonts w:hint="eastAsia" w:ascii="仿宋_GB2312" w:eastAsia="仿宋_GB2312"/>
          <w:b/>
          <w:bCs/>
          <w:sz w:val="32"/>
          <w:szCs w:val="32"/>
        </w:rPr>
        <w:t>十四、机关运行经费：</w:t>
      </w:r>
      <w:r>
        <w:rPr>
          <w:rFonts w:hint="eastAsia" w:ascii="仿宋_GB2312" w:eastAsia="仿宋_GB2312"/>
          <w:sz w:val="32"/>
          <w:szCs w:val="32"/>
        </w:rPr>
        <w:t>行政单位和参照公务员法管理的事业单位财政拨款基本支出中的公用经费支出。</w:t>
      </w:r>
    </w:p>
    <w:p w14:paraId="1571C500">
      <w:pPr>
        <w:ind w:firstLine="640" w:firstLineChars="200"/>
        <w:jc w:val="center"/>
        <w:outlineLvl w:val="0"/>
        <w:rPr>
          <w:rFonts w:hint="eastAsia" w:ascii="黑体" w:hAnsi="黑体" w:eastAsia="黑体"/>
          <w:sz w:val="32"/>
          <w:szCs w:val="32"/>
        </w:rPr>
      </w:pPr>
      <w:r>
        <w:rPr>
          <w:rFonts w:hint="eastAsia" w:ascii="仿宋_GB2312" w:eastAsia="仿宋_GB2312"/>
          <w:sz w:val="32"/>
          <w:szCs w:val="32"/>
        </w:rPr>
        <w:br w:type="page"/>
      </w:r>
      <w:r>
        <w:rPr>
          <w:rFonts w:hint="eastAsia" w:ascii="黑体" w:hAnsi="黑体" w:eastAsia="黑体"/>
          <w:sz w:val="32"/>
          <w:szCs w:val="32"/>
        </w:rPr>
        <w:t>第四部分 部门决算报表（见附表）</w:t>
      </w:r>
    </w:p>
    <w:p w14:paraId="489F5137">
      <w:pPr>
        <w:ind w:firstLine="640" w:firstLineChars="200"/>
        <w:outlineLvl w:val="1"/>
        <w:rPr>
          <w:rFonts w:hint="eastAsia" w:ascii="黑体" w:hAnsi="黑体" w:eastAsia="仿宋_GB2312" w:cs="宋体"/>
          <w:bCs/>
          <w:kern w:val="0"/>
          <w:sz w:val="32"/>
          <w:szCs w:val="32"/>
        </w:rPr>
      </w:pPr>
      <w:bookmarkStart w:id="32" w:name="_Toc6062"/>
      <w:bookmarkStart w:id="33" w:name="_Toc2183"/>
      <w:r>
        <w:rPr>
          <w:rFonts w:hint="eastAsia" w:ascii="黑体" w:hAnsi="黑体" w:eastAsia="仿宋_GB2312" w:cs="宋体"/>
          <w:bCs/>
          <w:kern w:val="0"/>
          <w:sz w:val="32"/>
          <w:szCs w:val="32"/>
        </w:rPr>
        <w:t>一、《收入支出决算总表》</w:t>
      </w:r>
      <w:bookmarkEnd w:id="32"/>
      <w:bookmarkEnd w:id="33"/>
    </w:p>
    <w:p w14:paraId="22FB7802">
      <w:pPr>
        <w:ind w:firstLine="640" w:firstLineChars="200"/>
        <w:outlineLvl w:val="1"/>
        <w:rPr>
          <w:rFonts w:hint="eastAsia" w:ascii="黑体" w:hAnsi="黑体" w:eastAsia="仿宋_GB2312" w:cs="宋体"/>
          <w:bCs/>
          <w:kern w:val="0"/>
          <w:sz w:val="32"/>
          <w:szCs w:val="32"/>
        </w:rPr>
      </w:pPr>
      <w:bookmarkStart w:id="34" w:name="_Toc30364"/>
      <w:bookmarkStart w:id="35" w:name="_Toc24532"/>
      <w:r>
        <w:rPr>
          <w:rFonts w:hint="eastAsia" w:ascii="黑体" w:hAnsi="黑体" w:eastAsia="仿宋_GB2312" w:cs="宋体"/>
          <w:bCs/>
          <w:kern w:val="0"/>
          <w:sz w:val="32"/>
          <w:szCs w:val="32"/>
        </w:rPr>
        <w:t>二、《收入决算表》</w:t>
      </w:r>
      <w:bookmarkEnd w:id="34"/>
      <w:bookmarkEnd w:id="35"/>
    </w:p>
    <w:p w14:paraId="2437B414">
      <w:pPr>
        <w:ind w:firstLine="640" w:firstLineChars="200"/>
        <w:outlineLvl w:val="1"/>
        <w:rPr>
          <w:rFonts w:hint="eastAsia" w:ascii="黑体" w:hAnsi="黑体" w:eastAsia="仿宋_GB2312" w:cs="宋体"/>
          <w:bCs/>
          <w:kern w:val="0"/>
          <w:sz w:val="32"/>
          <w:szCs w:val="32"/>
        </w:rPr>
      </w:pPr>
      <w:bookmarkStart w:id="36" w:name="_Toc21304"/>
      <w:bookmarkStart w:id="37" w:name="_Toc32434"/>
      <w:r>
        <w:rPr>
          <w:rFonts w:hint="eastAsia" w:ascii="黑体" w:hAnsi="黑体" w:eastAsia="仿宋_GB2312" w:cs="宋体"/>
          <w:bCs/>
          <w:kern w:val="0"/>
          <w:sz w:val="32"/>
          <w:szCs w:val="32"/>
        </w:rPr>
        <w:t>三、《支出决算表》</w:t>
      </w:r>
      <w:bookmarkEnd w:id="36"/>
      <w:bookmarkEnd w:id="37"/>
    </w:p>
    <w:p w14:paraId="08042475">
      <w:pPr>
        <w:ind w:firstLine="640" w:firstLineChars="200"/>
        <w:outlineLvl w:val="1"/>
        <w:rPr>
          <w:rFonts w:hint="eastAsia" w:ascii="黑体" w:hAnsi="黑体" w:eastAsia="仿宋_GB2312" w:cs="宋体"/>
          <w:bCs/>
          <w:kern w:val="0"/>
          <w:sz w:val="32"/>
          <w:szCs w:val="32"/>
        </w:rPr>
      </w:pPr>
      <w:bookmarkStart w:id="38" w:name="_Toc28786"/>
      <w:bookmarkStart w:id="39" w:name="_Toc14238"/>
      <w:r>
        <w:rPr>
          <w:rFonts w:hint="eastAsia" w:ascii="黑体" w:hAnsi="黑体" w:eastAsia="仿宋_GB2312" w:cs="宋体"/>
          <w:bCs/>
          <w:kern w:val="0"/>
          <w:sz w:val="32"/>
          <w:szCs w:val="32"/>
        </w:rPr>
        <w:t>四、《财政拨款收入支出决算总表》</w:t>
      </w:r>
      <w:bookmarkEnd w:id="38"/>
      <w:bookmarkEnd w:id="39"/>
    </w:p>
    <w:p w14:paraId="21F75108">
      <w:pPr>
        <w:ind w:firstLine="640" w:firstLineChars="200"/>
        <w:outlineLvl w:val="1"/>
        <w:rPr>
          <w:rFonts w:hint="eastAsia" w:ascii="黑体" w:hAnsi="黑体" w:eastAsia="仿宋_GB2312" w:cs="宋体"/>
          <w:bCs/>
          <w:kern w:val="0"/>
          <w:sz w:val="32"/>
          <w:szCs w:val="32"/>
        </w:rPr>
      </w:pPr>
      <w:bookmarkStart w:id="40" w:name="_Toc10347"/>
      <w:bookmarkStart w:id="41" w:name="_Toc14869"/>
      <w:r>
        <w:rPr>
          <w:rFonts w:hint="eastAsia" w:ascii="黑体" w:hAnsi="黑体" w:eastAsia="仿宋_GB2312" w:cs="宋体"/>
          <w:bCs/>
          <w:kern w:val="0"/>
          <w:sz w:val="32"/>
          <w:szCs w:val="32"/>
        </w:rPr>
        <w:t>五、《一般公共预算财政拨款支出决算表》</w:t>
      </w:r>
      <w:bookmarkEnd w:id="40"/>
      <w:bookmarkEnd w:id="41"/>
    </w:p>
    <w:p w14:paraId="27EC600C">
      <w:pPr>
        <w:ind w:firstLine="640" w:firstLineChars="200"/>
        <w:outlineLvl w:val="1"/>
        <w:rPr>
          <w:rFonts w:hint="eastAsia" w:ascii="黑体" w:hAnsi="黑体" w:eastAsia="仿宋_GB2312" w:cs="宋体"/>
          <w:bCs/>
          <w:kern w:val="0"/>
          <w:sz w:val="32"/>
          <w:szCs w:val="32"/>
        </w:rPr>
      </w:pPr>
      <w:bookmarkStart w:id="42" w:name="_Toc5626"/>
      <w:bookmarkStart w:id="43" w:name="_Toc8884"/>
      <w:r>
        <w:rPr>
          <w:rFonts w:hint="eastAsia" w:ascii="黑体" w:hAnsi="黑体" w:eastAsia="仿宋_GB2312" w:cs="宋体"/>
          <w:bCs/>
          <w:kern w:val="0"/>
          <w:sz w:val="32"/>
          <w:szCs w:val="32"/>
        </w:rPr>
        <w:t>六、《一般公共预算财政拨款基本支出决算表》</w:t>
      </w:r>
      <w:bookmarkEnd w:id="42"/>
      <w:bookmarkEnd w:id="43"/>
    </w:p>
    <w:p w14:paraId="322D726B">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七、</w:t>
      </w:r>
      <w:bookmarkStart w:id="44" w:name="_Toc29106"/>
      <w:bookmarkStart w:id="45" w:name="_Toc32663"/>
      <w:r>
        <w:rPr>
          <w:rFonts w:hint="eastAsia" w:ascii="黑体" w:hAnsi="黑体" w:eastAsia="仿宋_GB2312" w:cs="宋体"/>
          <w:bCs/>
          <w:kern w:val="0"/>
          <w:sz w:val="32"/>
          <w:szCs w:val="32"/>
        </w:rPr>
        <w:t>《财政拨款“三公”经费支出决算表》</w:t>
      </w:r>
      <w:bookmarkEnd w:id="44"/>
      <w:bookmarkEnd w:id="45"/>
    </w:p>
    <w:p w14:paraId="148B4658">
      <w:pPr>
        <w:ind w:firstLine="640" w:firstLineChars="200"/>
        <w:outlineLvl w:val="1"/>
        <w:rPr>
          <w:rFonts w:hint="eastAsia" w:ascii="黑体" w:hAnsi="黑体" w:eastAsia="仿宋_GB2312" w:cs="宋体"/>
          <w:bCs/>
          <w:kern w:val="0"/>
          <w:sz w:val="32"/>
          <w:szCs w:val="32"/>
        </w:rPr>
      </w:pPr>
      <w:bookmarkStart w:id="46" w:name="_Toc5453"/>
      <w:bookmarkStart w:id="47" w:name="_Toc7643"/>
      <w:r>
        <w:rPr>
          <w:rFonts w:hint="eastAsia" w:ascii="黑体" w:hAnsi="黑体" w:eastAsia="仿宋_GB2312" w:cs="宋体"/>
          <w:bCs/>
          <w:kern w:val="0"/>
          <w:sz w:val="32"/>
          <w:szCs w:val="32"/>
        </w:rPr>
        <w:t>八、《政府性基金预算财政拨款收入支出决算表》</w:t>
      </w:r>
      <w:bookmarkEnd w:id="46"/>
      <w:bookmarkEnd w:id="47"/>
    </w:p>
    <w:p w14:paraId="3E165EC8">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九、《国有资本经营预算财政拨款收入支出决算表》</w:t>
      </w:r>
    </w:p>
    <w:p w14:paraId="7B3EFD10">
      <w:pPr>
        <w:ind w:firstLine="640" w:firstLineChars="200"/>
        <w:rPr>
          <w:rFonts w:ascii="仿宋_GB2312" w:eastAsia="仿宋_GB2312"/>
          <w:sz w:val="32"/>
          <w:szCs w:val="32"/>
        </w:rPr>
      </w:pPr>
    </w:p>
    <w:p w14:paraId="3A7F49EC">
      <w:pPr>
        <w:ind w:firstLine="640" w:firstLineChars="200"/>
        <w:outlineLvl w:val="1"/>
        <w:rPr>
          <w:rFonts w:hint="eastAsia" w:ascii="黑体" w:hAnsi="黑体" w:eastAsia="黑体" w:cs="宋体"/>
          <w:bCs/>
          <w:kern w:val="0"/>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8867B1">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F14B24D">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7F14B24D">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YwYmJhZjc0NGViYWI2MzA4ODc2NzVjMTUwODc4MTAifQ=="/>
    <w:docVar w:name="KSO_WPS_MARK_KEY" w:val="41ee2a61-2d54-4f93-83be-afdb9a40d732"/>
  </w:docVars>
  <w:rsids>
    <w:rsidRoot w:val="00CF6DD0"/>
    <w:rsid w:val="000B527A"/>
    <w:rsid w:val="000D0A88"/>
    <w:rsid w:val="001248EF"/>
    <w:rsid w:val="001635D8"/>
    <w:rsid w:val="00213C59"/>
    <w:rsid w:val="002454E7"/>
    <w:rsid w:val="002C5A4E"/>
    <w:rsid w:val="003210CE"/>
    <w:rsid w:val="003255E3"/>
    <w:rsid w:val="003312FB"/>
    <w:rsid w:val="0044436A"/>
    <w:rsid w:val="0045190D"/>
    <w:rsid w:val="004A7024"/>
    <w:rsid w:val="005236AE"/>
    <w:rsid w:val="00597FF9"/>
    <w:rsid w:val="0066132C"/>
    <w:rsid w:val="006B18DE"/>
    <w:rsid w:val="007A679A"/>
    <w:rsid w:val="007E014A"/>
    <w:rsid w:val="0081398E"/>
    <w:rsid w:val="00960BB6"/>
    <w:rsid w:val="009610C1"/>
    <w:rsid w:val="009850C6"/>
    <w:rsid w:val="00A06D96"/>
    <w:rsid w:val="00AC4674"/>
    <w:rsid w:val="00AD0F25"/>
    <w:rsid w:val="00B43900"/>
    <w:rsid w:val="00B70D59"/>
    <w:rsid w:val="00B74691"/>
    <w:rsid w:val="00C032BF"/>
    <w:rsid w:val="00C500EE"/>
    <w:rsid w:val="00CF6DD0"/>
    <w:rsid w:val="00D27261"/>
    <w:rsid w:val="00D52DC9"/>
    <w:rsid w:val="00D61ABB"/>
    <w:rsid w:val="00D61E01"/>
    <w:rsid w:val="00E11A06"/>
    <w:rsid w:val="00E318F6"/>
    <w:rsid w:val="00F26753"/>
    <w:rsid w:val="00F3668B"/>
    <w:rsid w:val="00F52A8D"/>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0B1DCD"/>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jc w:val="left"/>
    </w:pPr>
    <w:rPr>
      <w:kern w:val="0"/>
      <w:sz w:val="24"/>
    </w:rPr>
  </w:style>
  <w:style w:type="character" w:styleId="11">
    <w:name w:val="Strong"/>
    <w:basedOn w:val="10"/>
    <w:qFormat/>
    <w:uiPriority w:val="0"/>
    <w:rPr>
      <w:b/>
    </w:rPr>
  </w:style>
  <w:style w:type="paragraph" w:customStyle="1" w:styleId="12">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3">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4">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21</Pages>
  <Words>7928</Words>
  <Characters>9087</Characters>
  <Lines>74</Lines>
  <Paragraphs>20</Paragraphs>
  <TotalTime>53</TotalTime>
  <ScaleCrop>false</ScaleCrop>
  <LinksUpToDate>false</LinksUpToDate>
  <CharactersWithSpaces>9162</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仰～</cp:lastModifiedBy>
  <dcterms:modified xsi:type="dcterms:W3CDTF">2024-11-12T11:09:52Z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D624B15633CD43C8BF9435464A96BF70</vt:lpwstr>
  </property>
</Properties>
</file>